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9" w:rsidRDefault="00642A1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42A19" w:rsidRDefault="00642A19">
      <w:pPr>
        <w:pStyle w:val="ConsPlusNormal"/>
        <w:jc w:val="both"/>
        <w:outlineLvl w:val="0"/>
      </w:pPr>
    </w:p>
    <w:p w:rsidR="00642A19" w:rsidRDefault="00642A19">
      <w:pPr>
        <w:pStyle w:val="ConsPlusTitle"/>
        <w:jc w:val="center"/>
        <w:outlineLvl w:val="0"/>
      </w:pPr>
      <w:r>
        <w:t>ДЕПАРТАМЕНТ СМОЛЕНСКОЙ ОБЛАСТИ ПО ЭНЕРГЕТИКЕ,</w:t>
      </w:r>
    </w:p>
    <w:p w:rsidR="00642A19" w:rsidRDefault="00642A19">
      <w:pPr>
        <w:pStyle w:val="ConsPlusTitle"/>
        <w:jc w:val="center"/>
      </w:pPr>
      <w:r>
        <w:t>ЭНЕРГОЭФФЕКТИВНОСТИ, ТАРИФНОЙ ПОЛИТИКЕ</w:t>
      </w:r>
    </w:p>
    <w:p w:rsidR="00642A19" w:rsidRDefault="00642A19">
      <w:pPr>
        <w:pStyle w:val="ConsPlusTitle"/>
        <w:jc w:val="center"/>
      </w:pPr>
    </w:p>
    <w:p w:rsidR="00642A19" w:rsidRDefault="00642A19">
      <w:pPr>
        <w:pStyle w:val="ConsPlusTitle"/>
        <w:jc w:val="center"/>
      </w:pPr>
      <w:r>
        <w:t>ПОСТАНОВЛЕНИЕ</w:t>
      </w:r>
    </w:p>
    <w:p w:rsidR="00642A19" w:rsidRDefault="00642A19">
      <w:pPr>
        <w:pStyle w:val="ConsPlusTitle"/>
        <w:jc w:val="center"/>
      </w:pPr>
      <w:r>
        <w:t>от 28 ноября 2022 г. N 318</w:t>
      </w:r>
    </w:p>
    <w:p w:rsidR="00642A19" w:rsidRDefault="00642A19">
      <w:pPr>
        <w:pStyle w:val="ConsPlusTitle"/>
        <w:jc w:val="center"/>
      </w:pPr>
    </w:p>
    <w:p w:rsidR="00642A19" w:rsidRDefault="00642A19">
      <w:pPr>
        <w:pStyle w:val="ConsPlusTitle"/>
        <w:jc w:val="center"/>
      </w:pPr>
      <w:r>
        <w:t>ОБ УСТАНОВЛЕНИИ СТАНДАРТИЗИРОВАННЫХ ТАРИФНЫХ СТАВОК</w:t>
      </w:r>
    </w:p>
    <w:p w:rsidR="00642A19" w:rsidRDefault="00642A19">
      <w:pPr>
        <w:pStyle w:val="ConsPlusTitle"/>
        <w:jc w:val="center"/>
      </w:pPr>
      <w:r>
        <w:t>ЗА ТЕХНОЛОГИЧЕСКОЕ ПРИСОЕДИНЕНИЕ К ЭЛЕКТРИЧЕСКИМ СЕТЯМ</w:t>
      </w:r>
    </w:p>
    <w:p w:rsidR="00642A19" w:rsidRDefault="00642A19">
      <w:pPr>
        <w:pStyle w:val="ConsPlusTitle"/>
        <w:jc w:val="center"/>
      </w:pPr>
      <w:r>
        <w:t>ТЕРРИТОРИАЛЬНЫХ СЕТЕВЫХ ОРГАНИЗАЦИЙ НА ТЕРРИТОРИИ СМОЛЕНСКОЙ</w:t>
      </w:r>
    </w:p>
    <w:p w:rsidR="00642A19" w:rsidRDefault="00642A19">
      <w:pPr>
        <w:pStyle w:val="ConsPlusTitle"/>
        <w:jc w:val="center"/>
      </w:pPr>
      <w:r>
        <w:t>ОБЛАСТИ НА 2023 ГОД</w:t>
      </w:r>
    </w:p>
    <w:p w:rsidR="00642A19" w:rsidRDefault="00642A19">
      <w:pPr>
        <w:pStyle w:val="ConsPlusNormal"/>
        <w:jc w:val="both"/>
      </w:pPr>
    </w:p>
    <w:p w:rsidR="00642A19" w:rsidRDefault="00642A19">
      <w:pPr>
        <w:pStyle w:val="ConsPlusNormal"/>
        <w:ind w:firstLine="540"/>
        <w:jc w:val="both"/>
      </w:pPr>
      <w:proofErr w:type="gramStart"/>
      <w:r>
        <w:t>В соответствии с Федеральным законом от 26.03.2003 N 35-ФЗ "Об электроэнергетике", Постановлениями Правительства Российской Федерации от 29.12.2011 N 1178 "О ценообразовании в области регулируемых цен (тарифов) в электроэнергетике",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w:t>
      </w:r>
      <w:proofErr w:type="gramEnd"/>
      <w:r>
        <w:t xml:space="preserve"> </w:t>
      </w:r>
      <w:proofErr w:type="gramStart"/>
      <w:r>
        <w:t xml:space="preserve">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14.11.2022 N 2053 "Об особенностях индексации регулируемых цен (тарифов) с 1 декабря 2022 г. по 31</w:t>
      </w:r>
      <w:proofErr w:type="gramEnd"/>
      <w:r>
        <w:t xml:space="preserve"> </w:t>
      </w:r>
      <w:proofErr w:type="gramStart"/>
      <w:r>
        <w:t xml:space="preserve">декабря 2023 г. и о внесении изменений в некоторые акты Правительства Российской Федерации", Положением о Департаменте Смоленской области по энергетике, </w:t>
      </w:r>
      <w:proofErr w:type="spellStart"/>
      <w:r>
        <w:t>энергоэффективности</w:t>
      </w:r>
      <w:proofErr w:type="spellEnd"/>
      <w:r>
        <w:t>, тарифной политике, утвержденным постановлением Администрации Смоленской области от 09.07.2012 N 432, на основании обращений и представленных материалов публичного акционерного общества "</w:t>
      </w:r>
      <w:proofErr w:type="spellStart"/>
      <w:r>
        <w:t>Россети</w:t>
      </w:r>
      <w:proofErr w:type="spellEnd"/>
      <w:r>
        <w:t xml:space="preserve"> Центр" (на территории Смоленской области), акционерного общества "</w:t>
      </w:r>
      <w:proofErr w:type="spellStart"/>
      <w:r>
        <w:t>ЭлС</w:t>
      </w:r>
      <w:proofErr w:type="spellEnd"/>
      <w:r>
        <w:t xml:space="preserve">", Московской дирекции по энергообеспечению СП </w:t>
      </w:r>
      <w:proofErr w:type="spellStart"/>
      <w:r>
        <w:t>Трансэнерго</w:t>
      </w:r>
      <w:proofErr w:type="spellEnd"/>
      <w:r>
        <w:t xml:space="preserve"> - филиала ОАО "РЖД" (на</w:t>
      </w:r>
      <w:proofErr w:type="gramEnd"/>
      <w:r>
        <w:t xml:space="preserve"> территории Смоленской области), акционерного общества "</w:t>
      </w:r>
      <w:proofErr w:type="spellStart"/>
      <w:r>
        <w:t>Оборонэнерго</w:t>
      </w:r>
      <w:proofErr w:type="spellEnd"/>
      <w:r>
        <w:t xml:space="preserve">" (на территории Смоленской области), общества с ограниченной ответственностью "Электросеть-Смоленск", заключения Экспертного совета Департамента Смоленской области по энергетике, </w:t>
      </w:r>
      <w:proofErr w:type="spellStart"/>
      <w:r>
        <w:t>энергоэффективности</w:t>
      </w:r>
      <w:proofErr w:type="spellEnd"/>
      <w:r>
        <w:t xml:space="preserve">, тарифной политике от 21.11.2022 N 286/1 Департамент Смоленской области по энергетике, </w:t>
      </w:r>
      <w:proofErr w:type="spellStart"/>
      <w:r>
        <w:t>энергоэффективности</w:t>
      </w:r>
      <w:proofErr w:type="spellEnd"/>
      <w:r>
        <w:t>, тарифной политике постановляет:</w:t>
      </w:r>
    </w:p>
    <w:p w:rsidR="00642A19" w:rsidRDefault="00642A19">
      <w:pPr>
        <w:pStyle w:val="ConsPlusNormal"/>
        <w:spacing w:before="200"/>
        <w:ind w:firstLine="540"/>
        <w:jc w:val="both"/>
      </w:pPr>
      <w:r>
        <w:t xml:space="preserve">1. Установить стандартизированные тарифные ставки </w:t>
      </w:r>
      <w:proofErr w:type="gramStart"/>
      <w:r>
        <w:t>для определения платы за технологическое присоединение к электрическим сетям на покрытие расходов территориальных сетевых организаций Смоленской области без учета</w:t>
      </w:r>
      <w:proofErr w:type="gramEnd"/>
      <w:r>
        <w:t xml:space="preserve"> затрат на строительство объектов электросетевого хозяйства на территории Смоленской области в соответствии с приложением 1.</w:t>
      </w:r>
    </w:p>
    <w:p w:rsidR="00642A19" w:rsidRDefault="00642A19">
      <w:pPr>
        <w:pStyle w:val="ConsPlusNormal"/>
        <w:spacing w:before="200"/>
        <w:ind w:firstLine="540"/>
        <w:jc w:val="both"/>
      </w:pPr>
      <w:r>
        <w:t>2. Установить стандартизированные тарифные ставки для определения платы за технологическое присоединение к электрическим сетям на покрытие расходов территориальных сетевых организаций Смоленской области, связанных со строительством объектов электросетевого хозяйства на территории Смоленской области, в соответствии с приложением 2.</w:t>
      </w:r>
    </w:p>
    <w:p w:rsidR="00642A19" w:rsidRDefault="00642A19">
      <w:pPr>
        <w:pStyle w:val="ConsPlusNormal"/>
        <w:spacing w:before="200"/>
        <w:ind w:firstLine="540"/>
        <w:jc w:val="both"/>
      </w:pPr>
      <w:r>
        <w:t xml:space="preserve">3. Установить формулу платы за технологическое присоединение к электрическим сетям территориальных сетевых организаций </w:t>
      </w:r>
      <w:proofErr w:type="spellStart"/>
      <w:r>
        <w:t>энергопринимающих</w:t>
      </w:r>
      <w:proofErr w:type="spellEnd"/>
      <w:r>
        <w:t xml:space="preserve"> устройств заявителей в соответствии с приложением 3.</w:t>
      </w:r>
    </w:p>
    <w:p w:rsidR="00642A19" w:rsidRDefault="00642A19">
      <w:pPr>
        <w:pStyle w:val="ConsPlusNormal"/>
        <w:spacing w:before="200"/>
        <w:ind w:firstLine="540"/>
        <w:jc w:val="both"/>
      </w:pPr>
      <w:r>
        <w:t>4. Признать утратившими силу:</w:t>
      </w:r>
    </w:p>
    <w:p w:rsidR="00642A19" w:rsidRDefault="00642A19">
      <w:pPr>
        <w:pStyle w:val="ConsPlusNormal"/>
        <w:spacing w:before="200"/>
        <w:ind w:firstLine="540"/>
        <w:jc w:val="both"/>
      </w:pPr>
      <w:r>
        <w:t xml:space="preserve">- постановление Департамента Смоленской области по энергетике, </w:t>
      </w:r>
      <w:proofErr w:type="spellStart"/>
      <w:r>
        <w:t>энергоэффективности</w:t>
      </w:r>
      <w:proofErr w:type="spellEnd"/>
      <w:r>
        <w:t>, тарифной политике от 27.12.2021 N 353 "Об установлении стандартизированных тарифных ставок за технологическое присоединение к электрическим сетям территориальных сетевых организаций на территории Смоленской области на 2022 год";</w:t>
      </w:r>
    </w:p>
    <w:p w:rsidR="00642A19" w:rsidRDefault="00642A19">
      <w:pPr>
        <w:pStyle w:val="ConsPlusNormal"/>
        <w:spacing w:before="200"/>
        <w:ind w:firstLine="540"/>
        <w:jc w:val="both"/>
      </w:pPr>
      <w:r>
        <w:t xml:space="preserve">- постановление Департамента Смоленской области по энергетике, </w:t>
      </w:r>
      <w:proofErr w:type="spellStart"/>
      <w:r>
        <w:t>энергоэффективности</w:t>
      </w:r>
      <w:proofErr w:type="spellEnd"/>
      <w:r>
        <w:t xml:space="preserve">, тарифной политике от 29.12.2021 N 369 "О внесении изменений в постановление Департамента Смоленской области по энергетике, </w:t>
      </w:r>
      <w:proofErr w:type="spellStart"/>
      <w:r>
        <w:t>энергоэффективности</w:t>
      </w:r>
      <w:proofErr w:type="spellEnd"/>
      <w:r>
        <w:t>, тарифной политике от 27.12.2021 N 353";</w:t>
      </w:r>
    </w:p>
    <w:p w:rsidR="00642A19" w:rsidRDefault="00642A19">
      <w:pPr>
        <w:pStyle w:val="ConsPlusNormal"/>
        <w:spacing w:before="200"/>
        <w:ind w:firstLine="540"/>
        <w:jc w:val="both"/>
      </w:pPr>
      <w:r>
        <w:lastRenderedPageBreak/>
        <w:t xml:space="preserve">- постановление Департамента Смоленской области по энергетике, </w:t>
      </w:r>
      <w:proofErr w:type="spellStart"/>
      <w:r>
        <w:t>энергоэффективности</w:t>
      </w:r>
      <w:proofErr w:type="spellEnd"/>
      <w:r>
        <w:t xml:space="preserve">, тарифной политике от 31.05.2022 N 28 "О внесении изменений в постановление Департамента Смоленской области по энергетике, </w:t>
      </w:r>
      <w:proofErr w:type="spellStart"/>
      <w:r>
        <w:t>энергоэффективности</w:t>
      </w:r>
      <w:proofErr w:type="spellEnd"/>
      <w:r>
        <w:t>, тарифной политике от 27.12.2021 N 353";</w:t>
      </w:r>
    </w:p>
    <w:p w:rsidR="00642A19" w:rsidRDefault="00642A19">
      <w:pPr>
        <w:pStyle w:val="ConsPlusNormal"/>
        <w:spacing w:before="200"/>
        <w:ind w:firstLine="540"/>
        <w:jc w:val="both"/>
      </w:pPr>
      <w:r>
        <w:t xml:space="preserve">- постановление Департамента Смоленской области по энергетике, </w:t>
      </w:r>
      <w:proofErr w:type="spellStart"/>
      <w:r>
        <w:t>энергоэффективности</w:t>
      </w:r>
      <w:proofErr w:type="spellEnd"/>
      <w:r>
        <w:t xml:space="preserve">, тарифной политике от 17.06.2022 N 33 "О внесении изменений в постановление Департамента Смоленской области по энергетике, </w:t>
      </w:r>
      <w:proofErr w:type="spellStart"/>
      <w:r>
        <w:t>энергоэффективности</w:t>
      </w:r>
      <w:proofErr w:type="spellEnd"/>
      <w:r>
        <w:t>, тарифной политике от 27.12.2021 N 353";</w:t>
      </w:r>
    </w:p>
    <w:p w:rsidR="00642A19" w:rsidRDefault="00642A19">
      <w:pPr>
        <w:pStyle w:val="ConsPlusNormal"/>
        <w:spacing w:before="200"/>
        <w:ind w:firstLine="540"/>
        <w:jc w:val="both"/>
      </w:pPr>
      <w:r>
        <w:t xml:space="preserve">- постановление Департамента Смоленской области по энергетике, </w:t>
      </w:r>
      <w:proofErr w:type="spellStart"/>
      <w:r>
        <w:t>энергоэффективности</w:t>
      </w:r>
      <w:proofErr w:type="spellEnd"/>
      <w:r>
        <w:t xml:space="preserve">, тарифной политике от 30.06.2022 N 35 "О внесении изменений в постановление Департамента Смоленской области по энергетике, </w:t>
      </w:r>
      <w:proofErr w:type="spellStart"/>
      <w:r>
        <w:t>энергоэффективности</w:t>
      </w:r>
      <w:proofErr w:type="spellEnd"/>
      <w:r>
        <w:t>, тарифной политике от 27.12.2021 N 353";</w:t>
      </w:r>
    </w:p>
    <w:p w:rsidR="00642A19" w:rsidRDefault="00642A19">
      <w:pPr>
        <w:pStyle w:val="ConsPlusNormal"/>
        <w:spacing w:before="200"/>
        <w:ind w:firstLine="540"/>
        <w:jc w:val="both"/>
      </w:pPr>
      <w:r>
        <w:t xml:space="preserve">- постановление Департамента Смоленской области по энергетике, </w:t>
      </w:r>
      <w:proofErr w:type="spellStart"/>
      <w:r>
        <w:t>энергоэффективности</w:t>
      </w:r>
      <w:proofErr w:type="spellEnd"/>
      <w:r>
        <w:t xml:space="preserve">, тарифной политике от 01.07.2022 N 38 "О внесении изменений в постановление Департамента Смоленской области по энергетике, </w:t>
      </w:r>
      <w:proofErr w:type="spellStart"/>
      <w:r>
        <w:t>энергоэффективности</w:t>
      </w:r>
      <w:proofErr w:type="spellEnd"/>
      <w:r>
        <w:t>, тарифной политике от 27.12.2021 N 353";</w:t>
      </w:r>
    </w:p>
    <w:p w:rsidR="00642A19" w:rsidRDefault="00642A19">
      <w:pPr>
        <w:pStyle w:val="ConsPlusNormal"/>
        <w:spacing w:before="200"/>
        <w:ind w:firstLine="540"/>
        <w:jc w:val="both"/>
      </w:pPr>
      <w:r>
        <w:t xml:space="preserve">- постановление Департамента Смоленской области по энергетике, </w:t>
      </w:r>
      <w:proofErr w:type="spellStart"/>
      <w:r>
        <w:t>энергоэффективности</w:t>
      </w:r>
      <w:proofErr w:type="spellEnd"/>
      <w:r>
        <w:t xml:space="preserve">, тарифной политике от 02.08.2022 N 43 "О внесении изменений в постановление Департамента Смоленской области по энергетике, </w:t>
      </w:r>
      <w:proofErr w:type="spellStart"/>
      <w:r>
        <w:t>энергоэффективности</w:t>
      </w:r>
      <w:proofErr w:type="spellEnd"/>
      <w:r>
        <w:t>, тарифной политике от 27.12.2021 N 353".</w:t>
      </w:r>
    </w:p>
    <w:p w:rsidR="00642A19" w:rsidRDefault="00642A19">
      <w:pPr>
        <w:pStyle w:val="ConsPlusNormal"/>
        <w:spacing w:before="200"/>
        <w:ind w:firstLine="540"/>
        <w:jc w:val="both"/>
      </w:pPr>
      <w:r>
        <w:t>5. Настоящее постановление вступает в силу с 1 декабря 2022 года и действует по 31 декабря 2023 года.</w:t>
      </w:r>
    </w:p>
    <w:p w:rsidR="00642A19" w:rsidRDefault="00642A19">
      <w:pPr>
        <w:pStyle w:val="ConsPlusNormal"/>
        <w:jc w:val="both"/>
      </w:pPr>
    </w:p>
    <w:p w:rsidR="00642A19" w:rsidRDefault="00642A19">
      <w:pPr>
        <w:pStyle w:val="ConsPlusNormal"/>
        <w:jc w:val="right"/>
      </w:pPr>
      <w:proofErr w:type="spellStart"/>
      <w:r>
        <w:t>И.о</w:t>
      </w:r>
      <w:proofErr w:type="spellEnd"/>
      <w:r>
        <w:t>. начальника Департамента</w:t>
      </w:r>
    </w:p>
    <w:p w:rsidR="00642A19" w:rsidRDefault="00642A19">
      <w:pPr>
        <w:pStyle w:val="ConsPlusNormal"/>
        <w:jc w:val="right"/>
      </w:pPr>
      <w:r>
        <w:t>Н.И.БОРИСОВ</w:t>
      </w: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right"/>
        <w:outlineLvl w:val="0"/>
      </w:pPr>
      <w:r>
        <w:t>Приложение 1</w:t>
      </w:r>
    </w:p>
    <w:p w:rsidR="00642A19" w:rsidRDefault="00642A19">
      <w:pPr>
        <w:pStyle w:val="ConsPlusNormal"/>
        <w:jc w:val="right"/>
      </w:pPr>
      <w:r>
        <w:t>к постановлению</w:t>
      </w:r>
    </w:p>
    <w:p w:rsidR="00642A19" w:rsidRDefault="00642A19">
      <w:pPr>
        <w:pStyle w:val="ConsPlusNormal"/>
        <w:jc w:val="right"/>
      </w:pPr>
      <w:r>
        <w:t>Департамента</w:t>
      </w:r>
    </w:p>
    <w:p w:rsidR="00642A19" w:rsidRDefault="00642A19">
      <w:pPr>
        <w:pStyle w:val="ConsPlusNormal"/>
        <w:jc w:val="right"/>
      </w:pPr>
      <w:r>
        <w:t>Смоленской области</w:t>
      </w:r>
    </w:p>
    <w:p w:rsidR="00642A19" w:rsidRDefault="00642A19">
      <w:pPr>
        <w:pStyle w:val="ConsPlusNormal"/>
        <w:jc w:val="right"/>
      </w:pPr>
      <w:r>
        <w:t>по энергетике,</w:t>
      </w:r>
    </w:p>
    <w:p w:rsidR="00642A19" w:rsidRDefault="00642A19">
      <w:pPr>
        <w:pStyle w:val="ConsPlusNormal"/>
        <w:jc w:val="right"/>
      </w:pPr>
      <w:proofErr w:type="spellStart"/>
      <w:r>
        <w:t>энергоэффективности</w:t>
      </w:r>
      <w:proofErr w:type="spellEnd"/>
      <w:r>
        <w:t>,</w:t>
      </w:r>
    </w:p>
    <w:p w:rsidR="00642A19" w:rsidRDefault="00642A19">
      <w:pPr>
        <w:pStyle w:val="ConsPlusNormal"/>
        <w:jc w:val="right"/>
      </w:pPr>
      <w:r>
        <w:t>тарифной политике</w:t>
      </w:r>
    </w:p>
    <w:p w:rsidR="00642A19" w:rsidRDefault="00642A19">
      <w:pPr>
        <w:pStyle w:val="ConsPlusNormal"/>
        <w:jc w:val="right"/>
      </w:pPr>
      <w:r>
        <w:t>от 28.11.2022 N 318</w:t>
      </w:r>
    </w:p>
    <w:p w:rsidR="00642A19" w:rsidRDefault="00642A19">
      <w:pPr>
        <w:pStyle w:val="ConsPlusNormal"/>
        <w:jc w:val="both"/>
      </w:pPr>
    </w:p>
    <w:p w:rsidR="00642A19" w:rsidRDefault="00642A19">
      <w:pPr>
        <w:pStyle w:val="ConsPlusTitle"/>
        <w:jc w:val="center"/>
      </w:pPr>
      <w:bookmarkStart w:id="0" w:name="P42"/>
      <w:bookmarkEnd w:id="0"/>
      <w:r>
        <w:t>СТАНДАРТИЗИРОВАННЫЕ ТАРИФНЫЕ СТАВКИ</w:t>
      </w:r>
    </w:p>
    <w:p w:rsidR="00642A19" w:rsidRDefault="00642A19">
      <w:pPr>
        <w:pStyle w:val="ConsPlusTitle"/>
        <w:jc w:val="center"/>
      </w:pPr>
      <w:r>
        <w:t>ДЛЯ ОПРЕДЕЛЕНИЯ ПЛАТЫ ЗА ТЕХНОЛОГИЧЕСКОЕ ПРИСОЕДИНЕНИЕ</w:t>
      </w:r>
    </w:p>
    <w:p w:rsidR="00642A19" w:rsidRDefault="00642A19">
      <w:pPr>
        <w:pStyle w:val="ConsPlusTitle"/>
        <w:jc w:val="center"/>
      </w:pPr>
      <w:r>
        <w:t>К ЭЛЕКТРИЧЕСКИМ СЕТЯМ НА ПОКРЫТИЕ РАСХОДОВ ТЕРРИТОРИАЛЬНЫХ</w:t>
      </w:r>
    </w:p>
    <w:p w:rsidR="00642A19" w:rsidRDefault="00642A19">
      <w:pPr>
        <w:pStyle w:val="ConsPlusTitle"/>
        <w:jc w:val="center"/>
      </w:pPr>
      <w:r>
        <w:t>СЕТЕВЫХ ОРГАНИЗАЦИЙ БЕЗ УЧЕТА ЗАТРАТ НА СТРОИТЕЛЬСТВО</w:t>
      </w:r>
    </w:p>
    <w:p w:rsidR="00642A19" w:rsidRDefault="00642A19">
      <w:pPr>
        <w:pStyle w:val="ConsPlusTitle"/>
        <w:jc w:val="center"/>
      </w:pPr>
      <w:r>
        <w:t>ОБЪЕКТОВ ЭЛЕКТРОСЕТЕВОГО ХОЗЯЙСТВА НА ТЕРРИТОРИИ</w:t>
      </w:r>
    </w:p>
    <w:p w:rsidR="00642A19" w:rsidRDefault="00642A19">
      <w:pPr>
        <w:pStyle w:val="ConsPlusTitle"/>
        <w:jc w:val="center"/>
      </w:pPr>
      <w:r>
        <w:t>СМОЛЕНСКОЙ ОБЛАСТИ</w:t>
      </w:r>
    </w:p>
    <w:p w:rsidR="00642A19" w:rsidRDefault="00642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5953"/>
        <w:gridCol w:w="1714"/>
      </w:tblGrid>
      <w:tr w:rsidR="00642A19">
        <w:tc>
          <w:tcPr>
            <w:tcW w:w="454" w:type="dxa"/>
          </w:tcPr>
          <w:p w:rsidR="00642A19" w:rsidRDefault="00642A19">
            <w:pPr>
              <w:pStyle w:val="ConsPlusNormal"/>
              <w:jc w:val="center"/>
            </w:pPr>
            <w:r>
              <w:t xml:space="preserve">N </w:t>
            </w:r>
            <w:proofErr w:type="gramStart"/>
            <w:r>
              <w:t>п</w:t>
            </w:r>
            <w:proofErr w:type="gramEnd"/>
            <w:r>
              <w:t>/п</w:t>
            </w:r>
          </w:p>
        </w:tc>
        <w:tc>
          <w:tcPr>
            <w:tcW w:w="6860" w:type="dxa"/>
            <w:gridSpan w:val="2"/>
          </w:tcPr>
          <w:p w:rsidR="00642A19" w:rsidRDefault="00642A19">
            <w:pPr>
              <w:pStyle w:val="ConsPlusNormal"/>
              <w:jc w:val="center"/>
            </w:pPr>
            <w:r>
              <w:t>Стандартизированная тарифная ставка</w:t>
            </w:r>
          </w:p>
        </w:tc>
        <w:tc>
          <w:tcPr>
            <w:tcW w:w="1714" w:type="dxa"/>
          </w:tcPr>
          <w:p w:rsidR="00642A19" w:rsidRDefault="00642A19">
            <w:pPr>
              <w:pStyle w:val="ConsPlusNormal"/>
              <w:jc w:val="center"/>
            </w:pPr>
            <w:r>
              <w:t>руб./за одно присоединение (без НДС)</w:t>
            </w:r>
          </w:p>
        </w:tc>
      </w:tr>
      <w:tr w:rsidR="00642A19">
        <w:tc>
          <w:tcPr>
            <w:tcW w:w="454" w:type="dxa"/>
            <w:vMerge w:val="restart"/>
          </w:tcPr>
          <w:p w:rsidR="00642A19" w:rsidRDefault="00642A19">
            <w:pPr>
              <w:pStyle w:val="ConsPlusNormal"/>
              <w:jc w:val="both"/>
            </w:pPr>
            <w:r>
              <w:t>1.</w:t>
            </w:r>
          </w:p>
        </w:tc>
        <w:tc>
          <w:tcPr>
            <w:tcW w:w="907" w:type="dxa"/>
            <w:vMerge w:val="restart"/>
          </w:tcPr>
          <w:p w:rsidR="00642A19" w:rsidRDefault="00642A19">
            <w:pPr>
              <w:pStyle w:val="ConsPlusNormal"/>
              <w:jc w:val="both"/>
            </w:pPr>
            <w:r>
              <w:t>С</w:t>
            </w:r>
            <w:proofErr w:type="gramStart"/>
            <w:r>
              <w:rPr>
                <w:vertAlign w:val="subscript"/>
              </w:rPr>
              <w:t>1</w:t>
            </w:r>
            <w:proofErr w:type="gramEnd"/>
          </w:p>
        </w:tc>
        <w:tc>
          <w:tcPr>
            <w:tcW w:w="5953" w:type="dxa"/>
            <w:vMerge w:val="restart"/>
          </w:tcPr>
          <w:p w:rsidR="00642A19" w:rsidRDefault="00642A19">
            <w:pPr>
              <w:pStyle w:val="ConsPlusNormal"/>
              <w:jc w:val="both"/>
            </w:pPr>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714" w:type="dxa"/>
          </w:tcPr>
          <w:p w:rsidR="00642A19" w:rsidRDefault="00642A19">
            <w:pPr>
              <w:pStyle w:val="ConsPlusNormal"/>
              <w:jc w:val="center"/>
            </w:pPr>
            <w:r>
              <w:t>9915 &lt;*&gt;</w:t>
            </w:r>
          </w:p>
        </w:tc>
      </w:tr>
      <w:tr w:rsidR="00642A19">
        <w:tc>
          <w:tcPr>
            <w:tcW w:w="454" w:type="dxa"/>
            <w:vMerge/>
          </w:tcPr>
          <w:p w:rsidR="00642A19" w:rsidRDefault="00642A19">
            <w:pPr>
              <w:pStyle w:val="ConsPlusNormal"/>
            </w:pPr>
          </w:p>
        </w:tc>
        <w:tc>
          <w:tcPr>
            <w:tcW w:w="907" w:type="dxa"/>
            <w:vMerge/>
          </w:tcPr>
          <w:p w:rsidR="00642A19" w:rsidRDefault="00642A19">
            <w:pPr>
              <w:pStyle w:val="ConsPlusNormal"/>
            </w:pPr>
          </w:p>
        </w:tc>
        <w:tc>
          <w:tcPr>
            <w:tcW w:w="5953" w:type="dxa"/>
            <w:vMerge/>
          </w:tcPr>
          <w:p w:rsidR="00642A19" w:rsidRDefault="00642A19">
            <w:pPr>
              <w:pStyle w:val="ConsPlusNormal"/>
            </w:pPr>
          </w:p>
        </w:tc>
        <w:tc>
          <w:tcPr>
            <w:tcW w:w="1714" w:type="dxa"/>
          </w:tcPr>
          <w:p w:rsidR="00642A19" w:rsidRDefault="00642A19">
            <w:pPr>
              <w:pStyle w:val="ConsPlusNormal"/>
              <w:jc w:val="center"/>
            </w:pPr>
            <w:r>
              <w:t>13492 &lt;**&gt;</w:t>
            </w:r>
          </w:p>
        </w:tc>
      </w:tr>
      <w:tr w:rsidR="00642A19">
        <w:tc>
          <w:tcPr>
            <w:tcW w:w="454" w:type="dxa"/>
          </w:tcPr>
          <w:p w:rsidR="00642A19" w:rsidRDefault="00642A19">
            <w:pPr>
              <w:pStyle w:val="ConsPlusNormal"/>
              <w:jc w:val="both"/>
            </w:pPr>
            <w:r>
              <w:lastRenderedPageBreak/>
              <w:t>2.</w:t>
            </w:r>
          </w:p>
        </w:tc>
        <w:tc>
          <w:tcPr>
            <w:tcW w:w="907" w:type="dxa"/>
          </w:tcPr>
          <w:p w:rsidR="00642A19" w:rsidRDefault="00642A19">
            <w:pPr>
              <w:pStyle w:val="ConsPlusNormal"/>
              <w:jc w:val="both"/>
            </w:pPr>
            <w:r>
              <w:t>С</w:t>
            </w:r>
            <w:proofErr w:type="gramStart"/>
            <w:r>
              <w:rPr>
                <w:vertAlign w:val="subscript"/>
              </w:rPr>
              <w:t>1</w:t>
            </w:r>
            <w:proofErr w:type="gramEnd"/>
            <w:r>
              <w:rPr>
                <w:vertAlign w:val="subscript"/>
              </w:rPr>
              <w:t>.1</w:t>
            </w:r>
          </w:p>
        </w:tc>
        <w:tc>
          <w:tcPr>
            <w:tcW w:w="5953" w:type="dxa"/>
          </w:tcPr>
          <w:p w:rsidR="00642A19" w:rsidRDefault="00642A19">
            <w:pPr>
              <w:pStyle w:val="ConsPlusNormal"/>
              <w:jc w:val="both"/>
            </w:pPr>
            <w: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714" w:type="dxa"/>
          </w:tcPr>
          <w:p w:rsidR="00642A19" w:rsidRDefault="00642A19">
            <w:pPr>
              <w:pStyle w:val="ConsPlusNormal"/>
              <w:jc w:val="center"/>
            </w:pPr>
            <w:r>
              <w:t>6160</w:t>
            </w:r>
          </w:p>
        </w:tc>
      </w:tr>
      <w:tr w:rsidR="00642A19">
        <w:tc>
          <w:tcPr>
            <w:tcW w:w="454" w:type="dxa"/>
          </w:tcPr>
          <w:p w:rsidR="00642A19" w:rsidRDefault="00642A19">
            <w:pPr>
              <w:pStyle w:val="ConsPlusNormal"/>
              <w:jc w:val="both"/>
            </w:pPr>
            <w:r>
              <w:t>3.</w:t>
            </w:r>
          </w:p>
        </w:tc>
        <w:tc>
          <w:tcPr>
            <w:tcW w:w="907" w:type="dxa"/>
          </w:tcPr>
          <w:p w:rsidR="00642A19" w:rsidRDefault="00642A19">
            <w:pPr>
              <w:pStyle w:val="ConsPlusNormal"/>
              <w:jc w:val="both"/>
            </w:pPr>
            <w:r>
              <w:t>С</w:t>
            </w:r>
            <w:proofErr w:type="gramStart"/>
            <w:r>
              <w:rPr>
                <w:vertAlign w:val="subscript"/>
              </w:rPr>
              <w:t>1</w:t>
            </w:r>
            <w:proofErr w:type="gramEnd"/>
            <w:r>
              <w:rPr>
                <w:vertAlign w:val="subscript"/>
              </w:rPr>
              <w:t>.2.1</w:t>
            </w:r>
          </w:p>
        </w:tc>
        <w:tc>
          <w:tcPr>
            <w:tcW w:w="5953" w:type="dxa"/>
          </w:tcPr>
          <w:p w:rsidR="00642A19" w:rsidRDefault="00642A19">
            <w:pPr>
              <w:pStyle w:val="ConsPlusNormal"/>
              <w:jc w:val="both"/>
            </w:pPr>
            <w:r>
              <w:t>стандартизированная тарифная ставка на покрытие расходов на выдачу акта об осуществлении технологического присоединения Заявителям, указанным в абзаце шестом пункта 24 Методических указаний по определению размера платы за технологическое присоединение к электрическим сетям</w:t>
            </w:r>
          </w:p>
        </w:tc>
        <w:tc>
          <w:tcPr>
            <w:tcW w:w="1714" w:type="dxa"/>
          </w:tcPr>
          <w:p w:rsidR="00642A19" w:rsidRDefault="00642A19">
            <w:pPr>
              <w:pStyle w:val="ConsPlusNormal"/>
              <w:jc w:val="center"/>
            </w:pPr>
            <w:r>
              <w:t>3755</w:t>
            </w:r>
          </w:p>
        </w:tc>
      </w:tr>
      <w:tr w:rsidR="00642A19">
        <w:tc>
          <w:tcPr>
            <w:tcW w:w="454" w:type="dxa"/>
          </w:tcPr>
          <w:p w:rsidR="00642A19" w:rsidRDefault="00642A19">
            <w:pPr>
              <w:pStyle w:val="ConsPlusNormal"/>
              <w:jc w:val="both"/>
            </w:pPr>
            <w:r>
              <w:t>4.</w:t>
            </w:r>
          </w:p>
        </w:tc>
        <w:tc>
          <w:tcPr>
            <w:tcW w:w="907" w:type="dxa"/>
          </w:tcPr>
          <w:p w:rsidR="00642A19" w:rsidRDefault="00642A19">
            <w:pPr>
              <w:pStyle w:val="ConsPlusNormal"/>
              <w:jc w:val="both"/>
            </w:pPr>
            <w:r>
              <w:t>С</w:t>
            </w:r>
            <w:proofErr w:type="gramStart"/>
            <w:r>
              <w:rPr>
                <w:vertAlign w:val="subscript"/>
              </w:rPr>
              <w:t>1</w:t>
            </w:r>
            <w:proofErr w:type="gramEnd"/>
            <w:r>
              <w:rPr>
                <w:vertAlign w:val="subscript"/>
              </w:rPr>
              <w:t>.2.2</w:t>
            </w:r>
          </w:p>
        </w:tc>
        <w:tc>
          <w:tcPr>
            <w:tcW w:w="5953" w:type="dxa"/>
          </w:tcPr>
          <w:p w:rsidR="00642A19" w:rsidRDefault="00642A19">
            <w:pPr>
              <w:pStyle w:val="ConsPlusNormal"/>
              <w:jc w:val="both"/>
            </w:pPr>
            <w:r>
              <w:t>стандартизированная тарифная ставка на покрытие расходов на проверку выполнения технических условий Заявителями, указанными в абзаце седьмом пункта 24 Методических указаний по определению размера платы за технологическое присоединение к электрическим сетям</w:t>
            </w:r>
          </w:p>
        </w:tc>
        <w:tc>
          <w:tcPr>
            <w:tcW w:w="1714" w:type="dxa"/>
          </w:tcPr>
          <w:p w:rsidR="00642A19" w:rsidRDefault="00642A19">
            <w:pPr>
              <w:pStyle w:val="ConsPlusNormal"/>
              <w:jc w:val="center"/>
            </w:pPr>
            <w:r>
              <w:t>7332</w:t>
            </w:r>
          </w:p>
        </w:tc>
      </w:tr>
    </w:tbl>
    <w:p w:rsidR="00642A19" w:rsidRDefault="00642A19">
      <w:pPr>
        <w:pStyle w:val="ConsPlusNormal"/>
        <w:jc w:val="both"/>
      </w:pPr>
    </w:p>
    <w:p w:rsidR="00642A19" w:rsidRDefault="00642A19">
      <w:pPr>
        <w:pStyle w:val="ConsPlusNormal"/>
        <w:ind w:firstLine="540"/>
        <w:jc w:val="both"/>
      </w:pPr>
      <w:r>
        <w:t>--------------------------------</w:t>
      </w:r>
    </w:p>
    <w:p w:rsidR="00642A19" w:rsidRDefault="00642A19">
      <w:pPr>
        <w:pStyle w:val="ConsPlusNormal"/>
        <w:spacing w:before="200"/>
        <w:ind w:firstLine="540"/>
        <w:jc w:val="both"/>
      </w:pPr>
      <w:r>
        <w:t xml:space="preserve">&lt;*&gt; применяется для технологического присоединения на уровне напряжения 0,4 </w:t>
      </w:r>
      <w:proofErr w:type="spellStart"/>
      <w:r>
        <w:t>кВ</w:t>
      </w:r>
      <w:proofErr w:type="spellEnd"/>
      <w:r>
        <w:t xml:space="preserve"> и ниже </w:t>
      </w:r>
      <w:proofErr w:type="spellStart"/>
      <w:r>
        <w:t>энергопринимающих</w:t>
      </w:r>
      <w:proofErr w:type="spellEnd"/>
      <w:r>
        <w:t xml:space="preserve"> устройств Заявителей:</w:t>
      </w:r>
    </w:p>
    <w:p w:rsidR="00642A19" w:rsidRDefault="00642A19">
      <w:pPr>
        <w:pStyle w:val="ConsPlusNormal"/>
        <w:spacing w:before="200"/>
        <w:ind w:firstLine="540"/>
        <w:jc w:val="both"/>
      </w:pPr>
      <w:proofErr w:type="gramStart"/>
      <w:r>
        <w:t xml:space="preserve">- физических лиц, направивших заявку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642A19" w:rsidRDefault="00642A19">
      <w:pPr>
        <w:pStyle w:val="ConsPlusNormal"/>
        <w:spacing w:before="200"/>
        <w:ind w:firstLine="540"/>
        <w:jc w:val="both"/>
      </w:pPr>
      <w:r>
        <w:t xml:space="preserve">- юридических лиц или индивидуальных предпринимателей, направивших заявку в целях технологического присоединения по второй или третьей категории надежности </w:t>
      </w:r>
      <w:proofErr w:type="spellStart"/>
      <w:r>
        <w:t>энергопринимающих</w:t>
      </w:r>
      <w:proofErr w:type="spellEnd"/>
      <w:r>
        <w:t xml:space="preserve"> устройств, максимальная мощность которых составляет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p w:rsidR="00642A19" w:rsidRDefault="00642A19">
      <w:pPr>
        <w:pStyle w:val="ConsPlusNormal"/>
        <w:spacing w:before="200"/>
        <w:ind w:firstLine="540"/>
        <w:jc w:val="both"/>
      </w:pPr>
      <w:r>
        <w:t xml:space="preserve">- юридических лиц или индивидуальных предпринимателей, направивших заявку в целях технологического присоединения объектов </w:t>
      </w:r>
      <w:proofErr w:type="spellStart"/>
      <w:r>
        <w:t>микрогенерации</w:t>
      </w:r>
      <w:proofErr w:type="spellEnd"/>
      <w:r>
        <w:t xml:space="preserve"> к объектам электросетевого хозяйства с уровнем напряжения до 1000</w:t>
      </w:r>
      <w:proofErr w:type="gramStart"/>
      <w:r>
        <w:t xml:space="preserve"> В</w:t>
      </w:r>
      <w:proofErr w:type="gramEnd"/>
      <w:r>
        <w:t>;</w:t>
      </w:r>
    </w:p>
    <w:p w:rsidR="00642A19" w:rsidRDefault="00642A19">
      <w:pPr>
        <w:pStyle w:val="ConsPlusNormal"/>
        <w:spacing w:before="200"/>
        <w:ind w:firstLine="540"/>
        <w:jc w:val="both"/>
      </w:pPr>
      <w:r>
        <w:t>- юридических лиц или индивидуальных предпринимателей, направивших заявку в целях одновременного технологического присоединения к объектам электросетевого хозяйства с уровнем напряжения до 1000</w:t>
      </w:r>
      <w:proofErr w:type="gramStart"/>
      <w:r>
        <w:t xml:space="preserve"> В</w:t>
      </w:r>
      <w:proofErr w:type="gramEnd"/>
      <w:r>
        <w:t xml:space="preserve">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электроснабжение которых предусматривается по одному источнику, и объектов </w:t>
      </w:r>
      <w:proofErr w:type="spellStart"/>
      <w:r>
        <w:t>микрогенерации</w:t>
      </w:r>
      <w:proofErr w:type="spellEnd"/>
      <w:r>
        <w:t>;</w:t>
      </w:r>
    </w:p>
    <w:p w:rsidR="00642A19" w:rsidRDefault="00642A19">
      <w:pPr>
        <w:pStyle w:val="ConsPlusNormal"/>
        <w:spacing w:before="200"/>
        <w:ind w:firstLine="540"/>
        <w:jc w:val="both"/>
      </w:pPr>
      <w:r>
        <w:t xml:space="preserve">- физических лиц, направивших заявку в целях технологического присоединения объекта </w:t>
      </w:r>
      <w:proofErr w:type="spellStart"/>
      <w:r>
        <w:t>микрогенерации</w:t>
      </w:r>
      <w:proofErr w:type="spellEnd"/>
      <w:r>
        <w:t xml:space="preserve"> к объектам электросетевого хозяйства с уровнем напряжения до 1000</w:t>
      </w:r>
      <w:proofErr w:type="gramStart"/>
      <w:r>
        <w:t xml:space="preserve"> В</w:t>
      </w:r>
      <w:proofErr w:type="gramEnd"/>
      <w:r>
        <w:t>;</w:t>
      </w:r>
    </w:p>
    <w:p w:rsidR="00642A19" w:rsidRDefault="00642A19">
      <w:pPr>
        <w:pStyle w:val="ConsPlusNormal"/>
        <w:spacing w:before="200"/>
        <w:ind w:firstLine="540"/>
        <w:jc w:val="both"/>
      </w:pPr>
      <w:r>
        <w:t>- физических лиц в целях одновременного технологического присоединения к объектам электросетевого хозяйства с уровнем напряжения до 1000</w:t>
      </w:r>
      <w:proofErr w:type="gramStart"/>
      <w:r>
        <w:t xml:space="preserve"> В</w:t>
      </w:r>
      <w:proofErr w:type="gramEnd"/>
      <w:r>
        <w:t xml:space="preserve">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t>микрогенерации</w:t>
      </w:r>
      <w:proofErr w:type="spellEnd"/>
      <w:r>
        <w:t>;</w:t>
      </w:r>
    </w:p>
    <w:p w:rsidR="00642A19" w:rsidRDefault="00642A19">
      <w:pPr>
        <w:pStyle w:val="ConsPlusNormal"/>
        <w:spacing w:before="200"/>
        <w:ind w:firstLine="540"/>
        <w:jc w:val="both"/>
      </w:pPr>
      <w:r>
        <w:t>&lt;**&gt; применяется для технологического присоединения объектов заявителей, не предусмотренных в примечании &lt;*&gt;.</w:t>
      </w: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right"/>
        <w:outlineLvl w:val="0"/>
      </w:pPr>
      <w:r>
        <w:t>Приложение 2</w:t>
      </w:r>
    </w:p>
    <w:p w:rsidR="00642A19" w:rsidRDefault="00642A19">
      <w:pPr>
        <w:pStyle w:val="ConsPlusNormal"/>
        <w:jc w:val="right"/>
      </w:pPr>
      <w:r>
        <w:t>к постановлению</w:t>
      </w:r>
    </w:p>
    <w:p w:rsidR="00642A19" w:rsidRDefault="00642A19">
      <w:pPr>
        <w:pStyle w:val="ConsPlusNormal"/>
        <w:jc w:val="right"/>
      </w:pPr>
      <w:r>
        <w:t>Департамента</w:t>
      </w:r>
    </w:p>
    <w:p w:rsidR="00642A19" w:rsidRDefault="00642A19">
      <w:pPr>
        <w:pStyle w:val="ConsPlusNormal"/>
        <w:jc w:val="right"/>
      </w:pPr>
      <w:r>
        <w:t>Смоленской области</w:t>
      </w:r>
    </w:p>
    <w:p w:rsidR="00642A19" w:rsidRDefault="00642A19">
      <w:pPr>
        <w:pStyle w:val="ConsPlusNormal"/>
        <w:jc w:val="right"/>
      </w:pPr>
      <w:r>
        <w:t>по энергетике,</w:t>
      </w:r>
    </w:p>
    <w:p w:rsidR="00642A19" w:rsidRDefault="00642A19">
      <w:pPr>
        <w:pStyle w:val="ConsPlusNormal"/>
        <w:jc w:val="right"/>
      </w:pPr>
      <w:proofErr w:type="spellStart"/>
      <w:r>
        <w:t>энергоэффективности</w:t>
      </w:r>
      <w:proofErr w:type="spellEnd"/>
      <w:r>
        <w:t>,</w:t>
      </w:r>
    </w:p>
    <w:p w:rsidR="00642A19" w:rsidRDefault="00642A19">
      <w:pPr>
        <w:pStyle w:val="ConsPlusNormal"/>
        <w:jc w:val="right"/>
      </w:pPr>
      <w:r>
        <w:t>тарифной политике</w:t>
      </w:r>
    </w:p>
    <w:p w:rsidR="00642A19" w:rsidRDefault="00642A19">
      <w:pPr>
        <w:pStyle w:val="ConsPlusNormal"/>
        <w:jc w:val="right"/>
      </w:pPr>
      <w:r>
        <w:t>от 28.11.2022 N 318</w:t>
      </w:r>
    </w:p>
    <w:p w:rsidR="00642A19" w:rsidRDefault="00642A19">
      <w:pPr>
        <w:pStyle w:val="ConsPlusNormal"/>
        <w:jc w:val="both"/>
      </w:pPr>
    </w:p>
    <w:p w:rsidR="00642A19" w:rsidRDefault="00642A19">
      <w:pPr>
        <w:pStyle w:val="ConsPlusTitle"/>
        <w:jc w:val="center"/>
      </w:pPr>
      <w:bookmarkStart w:id="1" w:name="P93"/>
      <w:bookmarkEnd w:id="1"/>
      <w:r>
        <w:t>СТАНДАРТИЗИРОВАННЫЕ ТАРИФНЫЕ СТАВКИ</w:t>
      </w:r>
    </w:p>
    <w:p w:rsidR="00642A19" w:rsidRDefault="00642A19">
      <w:pPr>
        <w:pStyle w:val="ConsPlusTitle"/>
        <w:jc w:val="center"/>
      </w:pPr>
      <w:r>
        <w:t>ДЛЯ ОПРЕДЕЛЕНИЯ ПЛАТЫ ЗА ТЕХНОЛОГИЧЕСКОЕ ПРИСОЕДИНЕНИЕ</w:t>
      </w:r>
    </w:p>
    <w:p w:rsidR="00642A19" w:rsidRDefault="00642A19">
      <w:pPr>
        <w:pStyle w:val="ConsPlusTitle"/>
        <w:jc w:val="center"/>
      </w:pPr>
      <w:r>
        <w:t>К ЭЛЕКТРИЧЕСКИМ СЕТЯМ НА ПОКРЫТИЕ РАСХОДОВ ТЕРРИТОРИАЛЬНЫХ</w:t>
      </w:r>
    </w:p>
    <w:p w:rsidR="00642A19" w:rsidRDefault="00642A19">
      <w:pPr>
        <w:pStyle w:val="ConsPlusTitle"/>
        <w:jc w:val="center"/>
      </w:pPr>
      <w:r>
        <w:t>СЕТЕВЫХ ОРГАНИЗАЦИЙ СМОЛЕНСКОЙ ОБЛАСТИ, СВЯЗАННЫХ</w:t>
      </w:r>
    </w:p>
    <w:p w:rsidR="00642A19" w:rsidRDefault="00642A19">
      <w:pPr>
        <w:pStyle w:val="ConsPlusTitle"/>
        <w:jc w:val="center"/>
      </w:pPr>
      <w:r>
        <w:t>СО СТРОИТЕЛЬСТВОМ ОБЪЕКТОВ ЭЛЕКТРОСЕТЕВОГО ХОЗЯЙСТВА</w:t>
      </w:r>
    </w:p>
    <w:p w:rsidR="00642A19" w:rsidRDefault="00642A19">
      <w:pPr>
        <w:pStyle w:val="ConsPlusTitle"/>
        <w:jc w:val="center"/>
      </w:pPr>
      <w:r>
        <w:t>НА ТЕРРИТОРИИ СМОЛЕНСКОЙ ОБЛАСТИ</w:t>
      </w:r>
    </w:p>
    <w:p w:rsidR="00642A19" w:rsidRDefault="00642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4535"/>
        <w:gridCol w:w="1204"/>
        <w:gridCol w:w="2389"/>
      </w:tblGrid>
      <w:tr w:rsidR="00642A19">
        <w:tc>
          <w:tcPr>
            <w:tcW w:w="904" w:type="dxa"/>
          </w:tcPr>
          <w:p w:rsidR="00642A19" w:rsidRDefault="00642A19">
            <w:pPr>
              <w:pStyle w:val="ConsPlusNormal"/>
              <w:jc w:val="center"/>
            </w:pPr>
            <w:r>
              <w:t xml:space="preserve">N </w:t>
            </w:r>
            <w:proofErr w:type="gramStart"/>
            <w:r>
              <w:t>п</w:t>
            </w:r>
            <w:proofErr w:type="gramEnd"/>
            <w:r>
              <w:t>/п</w:t>
            </w:r>
          </w:p>
        </w:tc>
        <w:tc>
          <w:tcPr>
            <w:tcW w:w="4535" w:type="dxa"/>
          </w:tcPr>
          <w:p w:rsidR="00642A19" w:rsidRDefault="00642A19">
            <w:pPr>
              <w:pStyle w:val="ConsPlusNormal"/>
              <w:jc w:val="center"/>
            </w:pPr>
            <w:r>
              <w:t>Наименование мероприятий</w:t>
            </w:r>
          </w:p>
        </w:tc>
        <w:tc>
          <w:tcPr>
            <w:tcW w:w="1204" w:type="dxa"/>
          </w:tcPr>
          <w:p w:rsidR="00642A19" w:rsidRDefault="00642A19">
            <w:pPr>
              <w:pStyle w:val="ConsPlusNormal"/>
              <w:jc w:val="center"/>
            </w:pPr>
            <w:r>
              <w:t>Единица измерения</w:t>
            </w:r>
          </w:p>
        </w:tc>
        <w:tc>
          <w:tcPr>
            <w:tcW w:w="2389" w:type="dxa"/>
          </w:tcPr>
          <w:p w:rsidR="00642A19" w:rsidRDefault="00642A19">
            <w:pPr>
              <w:pStyle w:val="ConsPlusNormal"/>
              <w:jc w:val="center"/>
            </w:pPr>
            <w:r>
              <w:t>Стандартизированная тарифная ставка</w:t>
            </w:r>
          </w:p>
        </w:tc>
      </w:tr>
      <w:tr w:rsidR="00642A19">
        <w:tc>
          <w:tcPr>
            <w:tcW w:w="904" w:type="dxa"/>
          </w:tcPr>
          <w:p w:rsidR="00642A19" w:rsidRDefault="00642A19">
            <w:pPr>
              <w:pStyle w:val="ConsPlusNormal"/>
              <w:jc w:val="center"/>
            </w:pPr>
            <w:r>
              <w:t>1</w:t>
            </w:r>
          </w:p>
        </w:tc>
        <w:tc>
          <w:tcPr>
            <w:tcW w:w="4535" w:type="dxa"/>
          </w:tcPr>
          <w:p w:rsidR="00642A19" w:rsidRDefault="00642A19">
            <w:pPr>
              <w:pStyle w:val="ConsPlusNormal"/>
              <w:jc w:val="center"/>
            </w:pPr>
            <w:r>
              <w:t>2</w:t>
            </w:r>
          </w:p>
        </w:tc>
        <w:tc>
          <w:tcPr>
            <w:tcW w:w="1204" w:type="dxa"/>
          </w:tcPr>
          <w:p w:rsidR="00642A19" w:rsidRDefault="00642A19">
            <w:pPr>
              <w:pStyle w:val="ConsPlusNormal"/>
              <w:jc w:val="center"/>
            </w:pPr>
            <w:r>
              <w:t>3</w:t>
            </w:r>
          </w:p>
        </w:tc>
        <w:tc>
          <w:tcPr>
            <w:tcW w:w="2389" w:type="dxa"/>
          </w:tcPr>
          <w:p w:rsidR="00642A19" w:rsidRDefault="00642A19">
            <w:pPr>
              <w:pStyle w:val="ConsPlusNormal"/>
              <w:jc w:val="center"/>
            </w:pPr>
            <w:r>
              <w:t>4</w:t>
            </w:r>
          </w:p>
        </w:tc>
      </w:tr>
      <w:tr w:rsidR="00642A19">
        <w:tc>
          <w:tcPr>
            <w:tcW w:w="904" w:type="dxa"/>
          </w:tcPr>
          <w:p w:rsidR="00642A19" w:rsidRDefault="00642A19">
            <w:pPr>
              <w:pStyle w:val="ConsPlusNormal"/>
              <w:jc w:val="both"/>
              <w:outlineLvl w:val="1"/>
            </w:pPr>
            <w:r>
              <w:t>1. &lt;*&gt;</w:t>
            </w:r>
          </w:p>
        </w:tc>
        <w:tc>
          <w:tcPr>
            <w:tcW w:w="8128" w:type="dxa"/>
            <w:gridSpan w:val="3"/>
          </w:tcPr>
          <w:p w:rsidR="00642A19" w:rsidRDefault="00642A19">
            <w:pPr>
              <w:pStyle w:val="ConsPlusNormal"/>
              <w:jc w:val="center"/>
            </w:pPr>
            <w:r>
              <w:t>Выполнение сетевой организацией мероприятий, связанных со строительством "последней мили"</w:t>
            </w:r>
          </w:p>
        </w:tc>
      </w:tr>
      <w:tr w:rsidR="00642A19">
        <w:tc>
          <w:tcPr>
            <w:tcW w:w="904" w:type="dxa"/>
          </w:tcPr>
          <w:p w:rsidR="00642A19" w:rsidRDefault="00642A19">
            <w:pPr>
              <w:pStyle w:val="ConsPlusNormal"/>
              <w:jc w:val="both"/>
            </w:pPr>
            <w:r>
              <w:t>1.1.</w:t>
            </w:r>
          </w:p>
        </w:tc>
        <w:tc>
          <w:tcPr>
            <w:tcW w:w="4535" w:type="dxa"/>
          </w:tcPr>
          <w:p w:rsidR="00642A19" w:rsidRDefault="00642A19">
            <w:pPr>
              <w:pStyle w:val="ConsPlusNormal"/>
              <w:jc w:val="both"/>
            </w:pPr>
            <w:r>
              <w:t xml:space="preserve">Строительство воздушных линий на железобетонных опорах изолированным </w:t>
            </w:r>
            <w:proofErr w:type="spellStart"/>
            <w:r>
              <w:t>сталеалюминиевым</w:t>
            </w:r>
            <w:proofErr w:type="spellEnd"/>
            <w:r>
              <w:t xml:space="preserve"> проводом сечением до 50 квадратных </w:t>
            </w:r>
            <w:proofErr w:type="gramStart"/>
            <w:r>
              <w:t>мм</w:t>
            </w:r>
            <w:proofErr w:type="gramEnd"/>
            <w:r>
              <w:t xml:space="preserve"> включительно </w:t>
            </w:r>
            <w:proofErr w:type="spellStart"/>
            <w:r>
              <w:t>одноцепные</w:t>
            </w:r>
            <w:proofErr w:type="spellEnd"/>
            <w:r>
              <w:t>:</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1.1.1.</w:t>
            </w:r>
          </w:p>
        </w:tc>
        <w:tc>
          <w:tcPr>
            <w:tcW w:w="4535" w:type="dxa"/>
          </w:tcPr>
          <w:p w:rsidR="00642A19" w:rsidRDefault="00642A19">
            <w:pPr>
              <w:pStyle w:val="ConsPlusNormal"/>
              <w:jc w:val="both"/>
            </w:pPr>
            <w:r>
              <w:rPr>
                <w:noProof/>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2522005</w:t>
            </w:r>
          </w:p>
        </w:tc>
      </w:tr>
      <w:tr w:rsidR="00642A19">
        <w:tc>
          <w:tcPr>
            <w:tcW w:w="904" w:type="dxa"/>
          </w:tcPr>
          <w:p w:rsidR="00642A19" w:rsidRDefault="00642A19">
            <w:pPr>
              <w:pStyle w:val="ConsPlusNormal"/>
              <w:jc w:val="both"/>
            </w:pPr>
            <w:r>
              <w:t>1.2.</w:t>
            </w:r>
          </w:p>
        </w:tc>
        <w:tc>
          <w:tcPr>
            <w:tcW w:w="4535" w:type="dxa"/>
          </w:tcPr>
          <w:p w:rsidR="00642A19" w:rsidRDefault="00642A19">
            <w:pPr>
              <w:pStyle w:val="ConsPlusNormal"/>
              <w:jc w:val="both"/>
            </w:pPr>
            <w:r>
              <w:t xml:space="preserve">Строительство воздушных линий на железобетонных опорах изолированным </w:t>
            </w:r>
            <w:proofErr w:type="spellStart"/>
            <w:r>
              <w:t>сталеалюминиевым</w:t>
            </w:r>
            <w:proofErr w:type="spellEnd"/>
            <w:r>
              <w:t xml:space="preserve"> проводом сечением от 50 до 100 квадратных </w:t>
            </w:r>
            <w:proofErr w:type="gramStart"/>
            <w:r>
              <w:t>мм</w:t>
            </w:r>
            <w:proofErr w:type="gramEnd"/>
            <w:r>
              <w:t xml:space="preserve"> включительно </w:t>
            </w:r>
            <w:proofErr w:type="spellStart"/>
            <w:r>
              <w:t>одноцепные</w:t>
            </w:r>
            <w:proofErr w:type="spellEnd"/>
            <w:r>
              <w:t>:</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1.2.1.</w:t>
            </w:r>
          </w:p>
        </w:tc>
        <w:tc>
          <w:tcPr>
            <w:tcW w:w="4535" w:type="dxa"/>
          </w:tcPr>
          <w:p w:rsidR="00642A19" w:rsidRDefault="00642A19">
            <w:pPr>
              <w:pStyle w:val="ConsPlusNormal"/>
              <w:jc w:val="both"/>
            </w:pPr>
            <w:r>
              <w:rPr>
                <w:noProof/>
                <w:position w:val="-8"/>
              </w:rPr>
              <w:drawing>
                <wp:inline distT="0" distB="0" distL="0" distR="0">
                  <wp:extent cx="838200"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2411596</w:t>
            </w:r>
          </w:p>
        </w:tc>
      </w:tr>
      <w:tr w:rsidR="00642A19">
        <w:tc>
          <w:tcPr>
            <w:tcW w:w="904" w:type="dxa"/>
          </w:tcPr>
          <w:p w:rsidR="00642A19" w:rsidRDefault="00642A19">
            <w:pPr>
              <w:pStyle w:val="ConsPlusNormal"/>
              <w:jc w:val="both"/>
            </w:pPr>
            <w:r>
              <w:t>1.3.</w:t>
            </w:r>
          </w:p>
        </w:tc>
        <w:tc>
          <w:tcPr>
            <w:tcW w:w="4535" w:type="dxa"/>
          </w:tcPr>
          <w:p w:rsidR="00642A19" w:rsidRDefault="00642A19">
            <w:pPr>
              <w:pStyle w:val="ConsPlusNormal"/>
              <w:jc w:val="both"/>
            </w:pPr>
            <w:r>
              <w:t xml:space="preserve">Строительство воздушных линий на железобетонных опорах изолированным алюминиевым проводом сечением до 50 квадратных </w:t>
            </w:r>
            <w:proofErr w:type="gramStart"/>
            <w:r>
              <w:t>мм</w:t>
            </w:r>
            <w:proofErr w:type="gramEnd"/>
            <w:r>
              <w:t xml:space="preserve"> включительно </w:t>
            </w:r>
            <w:proofErr w:type="spellStart"/>
            <w:r>
              <w:t>одноцепные</w:t>
            </w:r>
            <w:proofErr w:type="spellEnd"/>
            <w:r>
              <w:t>:</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1.3.1.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1261959</w:t>
            </w:r>
          </w:p>
        </w:tc>
      </w:tr>
      <w:tr w:rsidR="00642A19">
        <w:tc>
          <w:tcPr>
            <w:tcW w:w="904" w:type="dxa"/>
          </w:tcPr>
          <w:p w:rsidR="00642A19" w:rsidRDefault="00642A19">
            <w:pPr>
              <w:pStyle w:val="ConsPlusNormal"/>
              <w:jc w:val="both"/>
            </w:pPr>
            <w:r>
              <w:t>1.4.</w:t>
            </w:r>
          </w:p>
        </w:tc>
        <w:tc>
          <w:tcPr>
            <w:tcW w:w="4535" w:type="dxa"/>
          </w:tcPr>
          <w:p w:rsidR="00642A19" w:rsidRDefault="00642A19">
            <w:pPr>
              <w:pStyle w:val="ConsPlusNormal"/>
              <w:jc w:val="both"/>
            </w:pPr>
            <w:r>
              <w:t xml:space="preserve">Строительство воздушных линий на железобетонных опорах изолированным алюминиевым проводом сечением до 50 квадратных </w:t>
            </w:r>
            <w:proofErr w:type="gramStart"/>
            <w:r>
              <w:t>мм</w:t>
            </w:r>
            <w:proofErr w:type="gramEnd"/>
            <w:r>
              <w:t xml:space="preserve"> включительно </w:t>
            </w:r>
            <w:proofErr w:type="spellStart"/>
            <w:r>
              <w:t>двухцепные</w:t>
            </w:r>
            <w:proofErr w:type="spellEnd"/>
            <w:r>
              <w:t>:</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1.4.1.</w:t>
            </w:r>
          </w:p>
        </w:tc>
        <w:tc>
          <w:tcPr>
            <w:tcW w:w="4535" w:type="dxa"/>
          </w:tcPr>
          <w:p w:rsidR="00642A19" w:rsidRDefault="00642A19">
            <w:pPr>
              <w:pStyle w:val="ConsPlusNormal"/>
              <w:jc w:val="both"/>
            </w:pPr>
            <w:r>
              <w:rPr>
                <w:noProof/>
                <w:position w:val="-8"/>
              </w:rPr>
              <w:drawing>
                <wp:inline distT="0" distB="0" distL="0" distR="0">
                  <wp:extent cx="10668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1734785</w:t>
            </w:r>
          </w:p>
        </w:tc>
      </w:tr>
      <w:tr w:rsidR="00642A19">
        <w:tc>
          <w:tcPr>
            <w:tcW w:w="904" w:type="dxa"/>
          </w:tcPr>
          <w:p w:rsidR="00642A19" w:rsidRDefault="00642A19">
            <w:pPr>
              <w:pStyle w:val="ConsPlusNormal"/>
              <w:jc w:val="both"/>
            </w:pPr>
            <w:r>
              <w:t>1.5.</w:t>
            </w:r>
          </w:p>
        </w:tc>
        <w:tc>
          <w:tcPr>
            <w:tcW w:w="4535" w:type="dxa"/>
          </w:tcPr>
          <w:p w:rsidR="00642A19" w:rsidRDefault="00642A19">
            <w:pPr>
              <w:pStyle w:val="ConsPlusNormal"/>
              <w:jc w:val="both"/>
            </w:pPr>
            <w:r>
              <w:t xml:space="preserve">Строительство воздушных линий на железобетонных опорах изолированным алюминиевым проводом сечением от 50 до 100 квадратных </w:t>
            </w:r>
            <w:proofErr w:type="gramStart"/>
            <w:r>
              <w:t>мм</w:t>
            </w:r>
            <w:proofErr w:type="gramEnd"/>
            <w:r>
              <w:t xml:space="preserve"> включительно </w:t>
            </w:r>
            <w:proofErr w:type="spellStart"/>
            <w:r>
              <w:t>одноцепные</w:t>
            </w:r>
            <w:proofErr w:type="spellEnd"/>
            <w:r>
              <w:t>:</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lastRenderedPageBreak/>
              <w:t>1.5.1.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1534776</w:t>
            </w:r>
          </w:p>
        </w:tc>
      </w:tr>
      <w:tr w:rsidR="00642A19">
        <w:tc>
          <w:tcPr>
            <w:tcW w:w="904" w:type="dxa"/>
          </w:tcPr>
          <w:p w:rsidR="00642A19" w:rsidRDefault="00642A19">
            <w:pPr>
              <w:pStyle w:val="ConsPlusNormal"/>
              <w:jc w:val="both"/>
            </w:pPr>
            <w:r>
              <w:t>1.6.</w:t>
            </w:r>
          </w:p>
        </w:tc>
        <w:tc>
          <w:tcPr>
            <w:tcW w:w="4535" w:type="dxa"/>
          </w:tcPr>
          <w:p w:rsidR="00642A19" w:rsidRDefault="00642A19">
            <w:pPr>
              <w:pStyle w:val="ConsPlusNormal"/>
              <w:jc w:val="both"/>
            </w:pPr>
            <w:r>
              <w:t xml:space="preserve">Строительство кабельных линий в траншеях, многожильных с резиновой или пластмассовой изоляцией сечением провода до 50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1.6.1.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2096797</w:t>
            </w:r>
          </w:p>
        </w:tc>
      </w:tr>
      <w:tr w:rsidR="00642A19">
        <w:tc>
          <w:tcPr>
            <w:tcW w:w="904" w:type="dxa"/>
          </w:tcPr>
          <w:p w:rsidR="00642A19" w:rsidRDefault="00642A19">
            <w:pPr>
              <w:pStyle w:val="ConsPlusNormal"/>
              <w:jc w:val="both"/>
            </w:pPr>
            <w:r>
              <w:t>1.7.</w:t>
            </w:r>
          </w:p>
        </w:tc>
        <w:tc>
          <w:tcPr>
            <w:tcW w:w="4535" w:type="dxa"/>
          </w:tcPr>
          <w:p w:rsidR="00642A19" w:rsidRDefault="00642A19">
            <w:pPr>
              <w:pStyle w:val="ConsPlusNormal"/>
              <w:jc w:val="both"/>
            </w:pPr>
            <w:r>
              <w:t xml:space="preserve">Строительство кабельных линий в траншеях, многожильных с резиновой или пластмассовой изоляцией сечением провода от 50 до 100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1.7.1.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2203245</w:t>
            </w:r>
          </w:p>
        </w:tc>
      </w:tr>
      <w:tr w:rsidR="00642A19">
        <w:tc>
          <w:tcPr>
            <w:tcW w:w="904" w:type="dxa"/>
          </w:tcPr>
          <w:p w:rsidR="00642A19" w:rsidRDefault="00642A19">
            <w:pPr>
              <w:pStyle w:val="ConsPlusNormal"/>
              <w:jc w:val="both"/>
            </w:pPr>
            <w:r>
              <w:t>1.7.2.</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3172592</w:t>
            </w:r>
          </w:p>
        </w:tc>
      </w:tr>
      <w:tr w:rsidR="00642A19">
        <w:tc>
          <w:tcPr>
            <w:tcW w:w="904" w:type="dxa"/>
          </w:tcPr>
          <w:p w:rsidR="00642A19" w:rsidRDefault="00642A19">
            <w:pPr>
              <w:pStyle w:val="ConsPlusNormal"/>
              <w:jc w:val="both"/>
            </w:pPr>
            <w:r>
              <w:t>1.8.</w:t>
            </w:r>
          </w:p>
        </w:tc>
        <w:tc>
          <w:tcPr>
            <w:tcW w:w="4535" w:type="dxa"/>
          </w:tcPr>
          <w:p w:rsidR="00642A19" w:rsidRDefault="00642A19">
            <w:pPr>
              <w:pStyle w:val="ConsPlusNormal"/>
              <w:jc w:val="both"/>
            </w:pPr>
            <w:r>
              <w:t xml:space="preserve">Строительство кабельных линий в траншеях, многожильных с резиновой или пластмассовой изоляцией сечением провода от 100 до 200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1.8.1.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2577721</w:t>
            </w:r>
          </w:p>
        </w:tc>
      </w:tr>
      <w:tr w:rsidR="00642A19">
        <w:tc>
          <w:tcPr>
            <w:tcW w:w="904" w:type="dxa"/>
          </w:tcPr>
          <w:p w:rsidR="00642A19" w:rsidRDefault="00642A19">
            <w:pPr>
              <w:pStyle w:val="ConsPlusNormal"/>
              <w:jc w:val="both"/>
            </w:pPr>
            <w:r>
              <w:t>1.8.2.</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4304099</w:t>
            </w:r>
          </w:p>
        </w:tc>
      </w:tr>
      <w:tr w:rsidR="00642A19">
        <w:tc>
          <w:tcPr>
            <w:tcW w:w="904" w:type="dxa"/>
          </w:tcPr>
          <w:p w:rsidR="00642A19" w:rsidRDefault="00642A19">
            <w:pPr>
              <w:pStyle w:val="ConsPlusNormal"/>
              <w:jc w:val="both"/>
            </w:pPr>
            <w:r>
              <w:t>1.9.</w:t>
            </w:r>
          </w:p>
        </w:tc>
        <w:tc>
          <w:tcPr>
            <w:tcW w:w="4535" w:type="dxa"/>
          </w:tcPr>
          <w:p w:rsidR="00642A19" w:rsidRDefault="00642A19">
            <w:pPr>
              <w:pStyle w:val="ConsPlusNormal"/>
              <w:jc w:val="both"/>
            </w:pPr>
            <w:r>
              <w:t xml:space="preserve">Строительство кабельных линий в траншеях, многожильных с резиновой или пластмассовой изоляцией сечением провода от 200 до 250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1.9.1.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3077956</w:t>
            </w:r>
          </w:p>
        </w:tc>
      </w:tr>
      <w:tr w:rsidR="00642A19">
        <w:tc>
          <w:tcPr>
            <w:tcW w:w="904" w:type="dxa"/>
          </w:tcPr>
          <w:p w:rsidR="00642A19" w:rsidRDefault="00642A19">
            <w:pPr>
              <w:pStyle w:val="ConsPlusNormal"/>
              <w:jc w:val="both"/>
            </w:pPr>
            <w:r>
              <w:t>1.9.2.</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4038654</w:t>
            </w:r>
          </w:p>
        </w:tc>
      </w:tr>
      <w:tr w:rsidR="00642A19">
        <w:tc>
          <w:tcPr>
            <w:tcW w:w="904" w:type="dxa"/>
          </w:tcPr>
          <w:p w:rsidR="00642A19" w:rsidRDefault="00642A19">
            <w:pPr>
              <w:pStyle w:val="ConsPlusNormal"/>
              <w:jc w:val="both"/>
            </w:pPr>
            <w:r>
              <w:t>1.10.</w:t>
            </w:r>
          </w:p>
        </w:tc>
        <w:tc>
          <w:tcPr>
            <w:tcW w:w="4535" w:type="dxa"/>
          </w:tcPr>
          <w:p w:rsidR="00642A19" w:rsidRDefault="00642A19">
            <w:pPr>
              <w:pStyle w:val="ConsPlusNormal"/>
              <w:jc w:val="both"/>
            </w:pPr>
            <w:r>
              <w:t xml:space="preserve">Строительство кабельных линий в траншеях, многожильных с бумажной изоляцией сечением провода от 50 до 100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1.10.1.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3006673</w:t>
            </w:r>
          </w:p>
        </w:tc>
      </w:tr>
      <w:tr w:rsidR="00642A19">
        <w:tc>
          <w:tcPr>
            <w:tcW w:w="904" w:type="dxa"/>
          </w:tcPr>
          <w:p w:rsidR="00642A19" w:rsidRDefault="00642A19">
            <w:pPr>
              <w:pStyle w:val="ConsPlusNormal"/>
              <w:jc w:val="both"/>
            </w:pPr>
            <w:r>
              <w:t>1.11.</w:t>
            </w:r>
          </w:p>
        </w:tc>
        <w:tc>
          <w:tcPr>
            <w:tcW w:w="4535" w:type="dxa"/>
          </w:tcPr>
          <w:p w:rsidR="00642A19" w:rsidRDefault="00642A19">
            <w:pPr>
              <w:pStyle w:val="ConsPlusNormal"/>
              <w:jc w:val="both"/>
            </w:pPr>
            <w:r>
              <w:t xml:space="preserve">Строительство кабельных линий в траншеях, многожильных с бумажной изоляцией сечением провода от 100 до 200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1.11.1.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3706173</w:t>
            </w:r>
          </w:p>
        </w:tc>
      </w:tr>
      <w:tr w:rsidR="00642A19">
        <w:tc>
          <w:tcPr>
            <w:tcW w:w="904" w:type="dxa"/>
          </w:tcPr>
          <w:p w:rsidR="00642A19" w:rsidRDefault="00642A19">
            <w:pPr>
              <w:pStyle w:val="ConsPlusNormal"/>
              <w:jc w:val="both"/>
            </w:pPr>
            <w:r>
              <w:lastRenderedPageBreak/>
              <w:t>1.12.</w:t>
            </w:r>
          </w:p>
        </w:tc>
        <w:tc>
          <w:tcPr>
            <w:tcW w:w="4535" w:type="dxa"/>
          </w:tcPr>
          <w:p w:rsidR="00642A19" w:rsidRDefault="00642A19">
            <w:pPr>
              <w:pStyle w:val="ConsPlusNormal"/>
              <w:jc w:val="both"/>
            </w:pPr>
            <w:r>
              <w:t xml:space="preserve">Строительство кабельных линий в траншеях, многожильных с бумажной изоляцией сечением провода от 200 до 250 квадратных </w:t>
            </w:r>
            <w:proofErr w:type="gramStart"/>
            <w:r>
              <w:t>мм</w:t>
            </w:r>
            <w:proofErr w:type="gramEnd"/>
            <w:r>
              <w:t xml:space="preserve"> включительно с одним кабелем в траншее: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1.12.1.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3244128</w:t>
            </w:r>
          </w:p>
        </w:tc>
      </w:tr>
      <w:tr w:rsidR="00642A19">
        <w:tc>
          <w:tcPr>
            <w:tcW w:w="904" w:type="dxa"/>
          </w:tcPr>
          <w:p w:rsidR="00642A19" w:rsidRDefault="00642A19">
            <w:pPr>
              <w:pStyle w:val="ConsPlusNormal"/>
              <w:jc w:val="both"/>
            </w:pPr>
            <w:r>
              <w:t>1.13.</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резиновой или пластмассовой изоляцией сечением провода до 50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1.13.1.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9286518</w:t>
            </w:r>
          </w:p>
        </w:tc>
      </w:tr>
      <w:tr w:rsidR="00642A19">
        <w:tc>
          <w:tcPr>
            <w:tcW w:w="904" w:type="dxa"/>
          </w:tcPr>
          <w:p w:rsidR="00642A19" w:rsidRDefault="00642A19">
            <w:pPr>
              <w:pStyle w:val="ConsPlusNormal"/>
              <w:jc w:val="both"/>
            </w:pPr>
            <w:r>
              <w:t>1.14.</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резиновой или пластмассовой изоляцией сечением провода от 50 до 100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1.14.1.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10127328</w:t>
            </w:r>
          </w:p>
        </w:tc>
      </w:tr>
      <w:tr w:rsidR="00642A19">
        <w:tc>
          <w:tcPr>
            <w:tcW w:w="904" w:type="dxa"/>
          </w:tcPr>
          <w:p w:rsidR="00642A19" w:rsidRDefault="00642A19">
            <w:pPr>
              <w:pStyle w:val="ConsPlusNormal"/>
              <w:jc w:val="both"/>
            </w:pPr>
            <w:r>
              <w:t>1.14.2.</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11495470</w:t>
            </w:r>
          </w:p>
        </w:tc>
      </w:tr>
      <w:tr w:rsidR="00642A19">
        <w:tc>
          <w:tcPr>
            <w:tcW w:w="904" w:type="dxa"/>
          </w:tcPr>
          <w:p w:rsidR="00642A19" w:rsidRDefault="00642A19">
            <w:pPr>
              <w:pStyle w:val="ConsPlusNormal"/>
              <w:jc w:val="both"/>
            </w:pPr>
            <w:r>
              <w:t>1.15.</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резиновой или пластмассовой изоляцией сечением провода от 100 до 200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1.15.1.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9114606</w:t>
            </w:r>
          </w:p>
        </w:tc>
      </w:tr>
      <w:tr w:rsidR="00642A19">
        <w:tc>
          <w:tcPr>
            <w:tcW w:w="904" w:type="dxa"/>
          </w:tcPr>
          <w:p w:rsidR="00642A19" w:rsidRDefault="00642A19">
            <w:pPr>
              <w:pStyle w:val="ConsPlusNormal"/>
              <w:jc w:val="both"/>
            </w:pPr>
            <w:r>
              <w:t>1.15.2.</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10276168</w:t>
            </w:r>
          </w:p>
        </w:tc>
      </w:tr>
      <w:tr w:rsidR="00642A19">
        <w:tc>
          <w:tcPr>
            <w:tcW w:w="904" w:type="dxa"/>
          </w:tcPr>
          <w:p w:rsidR="00642A19" w:rsidRDefault="00642A19">
            <w:pPr>
              <w:pStyle w:val="ConsPlusNormal"/>
              <w:jc w:val="both"/>
            </w:pPr>
            <w:r>
              <w:t>1.16.</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резиновой или пластмассовой изоляцией сечением провода от 200 до 250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1.16.1.</w:t>
            </w:r>
          </w:p>
        </w:tc>
        <w:tc>
          <w:tcPr>
            <w:tcW w:w="4535" w:type="dxa"/>
          </w:tcPr>
          <w:p w:rsidR="00642A19" w:rsidRDefault="00642A19">
            <w:pPr>
              <w:pStyle w:val="ConsPlusNormal"/>
              <w:jc w:val="both"/>
            </w:pPr>
            <w:r>
              <w:rPr>
                <w:noProof/>
                <w:position w:val="-8"/>
              </w:rPr>
              <w:drawing>
                <wp:inline distT="0" distB="0" distL="0" distR="0">
                  <wp:extent cx="10572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10455438</w:t>
            </w:r>
          </w:p>
        </w:tc>
      </w:tr>
      <w:tr w:rsidR="00642A19">
        <w:tc>
          <w:tcPr>
            <w:tcW w:w="904" w:type="dxa"/>
          </w:tcPr>
          <w:p w:rsidR="00642A19" w:rsidRDefault="00642A19">
            <w:pPr>
              <w:pStyle w:val="ConsPlusNormal"/>
              <w:jc w:val="both"/>
            </w:pPr>
            <w:r>
              <w:t>1.17.</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бумажной изоляцией сечением провода от 50 до 100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1.17.1.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9589878</w:t>
            </w:r>
          </w:p>
        </w:tc>
      </w:tr>
      <w:tr w:rsidR="00642A19">
        <w:tc>
          <w:tcPr>
            <w:tcW w:w="904" w:type="dxa"/>
          </w:tcPr>
          <w:p w:rsidR="00642A19" w:rsidRDefault="00642A19">
            <w:pPr>
              <w:pStyle w:val="ConsPlusNormal"/>
              <w:jc w:val="both"/>
            </w:pPr>
            <w:r>
              <w:lastRenderedPageBreak/>
              <w:t>1.18.</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бумажной изоляцией сечением провода от 100 до 200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1.18.1.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10826744</w:t>
            </w:r>
          </w:p>
        </w:tc>
      </w:tr>
      <w:tr w:rsidR="00642A19">
        <w:tc>
          <w:tcPr>
            <w:tcW w:w="904" w:type="dxa"/>
          </w:tcPr>
          <w:p w:rsidR="00642A19" w:rsidRDefault="00642A19">
            <w:pPr>
              <w:pStyle w:val="ConsPlusNormal"/>
              <w:jc w:val="both"/>
            </w:pPr>
            <w:r>
              <w:t>1.19.</w:t>
            </w:r>
          </w:p>
        </w:tc>
        <w:tc>
          <w:tcPr>
            <w:tcW w:w="4535" w:type="dxa"/>
          </w:tcPr>
          <w:p w:rsidR="00642A19" w:rsidRDefault="00642A19">
            <w:pPr>
              <w:pStyle w:val="ConsPlusNormal"/>
              <w:jc w:val="both"/>
            </w:pPr>
            <w:r>
              <w:t xml:space="preserve">Строительство кабельных линий, прокладываемых методом горизонтального наклонного бурения, многожильных с бумажной изоляцией сечением провода от 200 до 250 квадратных </w:t>
            </w:r>
            <w:proofErr w:type="gramStart"/>
            <w:r>
              <w:t>мм</w:t>
            </w:r>
            <w:proofErr w:type="gramEnd"/>
            <w:r>
              <w:t xml:space="preserve"> включительно с одной трубой в скважине:</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1.19.1.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w:t>
            </w:r>
            <w:proofErr w:type="gramStart"/>
            <w:r>
              <w:t>км</w:t>
            </w:r>
            <w:proofErr w:type="gramEnd"/>
            <w:r>
              <w:t xml:space="preserve"> (без НДС)</w:t>
            </w:r>
          </w:p>
        </w:tc>
        <w:tc>
          <w:tcPr>
            <w:tcW w:w="2389" w:type="dxa"/>
          </w:tcPr>
          <w:p w:rsidR="00642A19" w:rsidRDefault="00642A19">
            <w:pPr>
              <w:pStyle w:val="ConsPlusNormal"/>
              <w:jc w:val="center"/>
            </w:pPr>
            <w:r>
              <w:t>13460307</w:t>
            </w:r>
          </w:p>
        </w:tc>
      </w:tr>
      <w:tr w:rsidR="00642A19">
        <w:tc>
          <w:tcPr>
            <w:tcW w:w="904" w:type="dxa"/>
          </w:tcPr>
          <w:p w:rsidR="00642A19" w:rsidRDefault="00642A19">
            <w:pPr>
              <w:pStyle w:val="ConsPlusNormal"/>
              <w:jc w:val="both"/>
            </w:pPr>
            <w:r>
              <w:t>1.20.</w:t>
            </w:r>
          </w:p>
        </w:tc>
        <w:tc>
          <w:tcPr>
            <w:tcW w:w="4535" w:type="dxa"/>
          </w:tcPr>
          <w:p w:rsidR="00642A19" w:rsidRDefault="00642A19">
            <w:pPr>
              <w:pStyle w:val="ConsPlusNormal"/>
              <w:jc w:val="both"/>
            </w:pPr>
            <w:r>
              <w:t>Строительство пунктов секционирования (</w:t>
            </w:r>
            <w:proofErr w:type="spellStart"/>
            <w:r>
              <w:t>реклоузеров</w:t>
            </w:r>
            <w:proofErr w:type="spellEnd"/>
            <w:r>
              <w:t>) номинальным током от 500 до 1000</w:t>
            </w:r>
            <w:proofErr w:type="gramStart"/>
            <w:r>
              <w:t xml:space="preserve"> А</w:t>
            </w:r>
            <w:proofErr w:type="gramEnd"/>
            <w:r>
              <w:t xml:space="preserve"> включительно:</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1.20.1.</w:t>
            </w:r>
          </w:p>
        </w:tc>
        <w:tc>
          <w:tcPr>
            <w:tcW w:w="4535" w:type="dxa"/>
          </w:tcPr>
          <w:p w:rsidR="00642A19" w:rsidRDefault="00642A19">
            <w:pPr>
              <w:pStyle w:val="ConsPlusNormal"/>
              <w:jc w:val="both"/>
            </w:pPr>
            <w:r>
              <w:rPr>
                <w:noProof/>
                <w:position w:val="-8"/>
              </w:rPr>
              <w:drawing>
                <wp:inline distT="0" distB="0" distL="0" distR="0">
                  <wp:extent cx="65722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руб./шт. (без НДС)</w:t>
            </w:r>
          </w:p>
        </w:tc>
        <w:tc>
          <w:tcPr>
            <w:tcW w:w="2389" w:type="dxa"/>
          </w:tcPr>
          <w:p w:rsidR="00642A19" w:rsidRDefault="00642A19">
            <w:pPr>
              <w:pStyle w:val="ConsPlusNormal"/>
              <w:jc w:val="center"/>
            </w:pPr>
            <w:r>
              <w:t>1902538</w:t>
            </w:r>
          </w:p>
        </w:tc>
      </w:tr>
      <w:tr w:rsidR="00642A19">
        <w:tc>
          <w:tcPr>
            <w:tcW w:w="904" w:type="dxa"/>
          </w:tcPr>
          <w:p w:rsidR="00642A19" w:rsidRDefault="00642A19">
            <w:pPr>
              <w:pStyle w:val="ConsPlusNormal"/>
              <w:jc w:val="both"/>
            </w:pPr>
            <w:r>
              <w:t>1.21.</w:t>
            </w:r>
          </w:p>
        </w:tc>
        <w:tc>
          <w:tcPr>
            <w:tcW w:w="4535" w:type="dxa"/>
          </w:tcPr>
          <w:p w:rsidR="00642A19" w:rsidRDefault="00642A19">
            <w:pPr>
              <w:pStyle w:val="ConsPlusNormal"/>
              <w:jc w:val="both"/>
            </w:pPr>
            <w:r>
              <w:t>Линейные разъединители номинальным током от 250 до 500</w:t>
            </w:r>
            <w:proofErr w:type="gramStart"/>
            <w:r>
              <w:t xml:space="preserve"> А</w:t>
            </w:r>
            <w:proofErr w:type="gramEnd"/>
            <w:r>
              <w:t xml:space="preserve"> включительно:</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1.21.1.</w:t>
            </w:r>
          </w:p>
        </w:tc>
        <w:tc>
          <w:tcPr>
            <w:tcW w:w="4535" w:type="dxa"/>
          </w:tcPr>
          <w:p w:rsidR="00642A19" w:rsidRDefault="00642A19">
            <w:pPr>
              <w:pStyle w:val="ConsPlusNormal"/>
              <w:jc w:val="both"/>
            </w:pPr>
            <w:r>
              <w:rPr>
                <w:noProof/>
                <w:position w:val="-8"/>
              </w:rPr>
              <w:drawing>
                <wp:inline distT="0" distB="0" distL="0" distR="0">
                  <wp:extent cx="65722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руб./шт. (без НДС)</w:t>
            </w:r>
          </w:p>
        </w:tc>
        <w:tc>
          <w:tcPr>
            <w:tcW w:w="2389" w:type="dxa"/>
          </w:tcPr>
          <w:p w:rsidR="00642A19" w:rsidRDefault="00642A19">
            <w:pPr>
              <w:pStyle w:val="ConsPlusNormal"/>
              <w:jc w:val="center"/>
            </w:pPr>
            <w:r>
              <w:t>81672</w:t>
            </w:r>
          </w:p>
        </w:tc>
      </w:tr>
      <w:tr w:rsidR="00642A19">
        <w:tc>
          <w:tcPr>
            <w:tcW w:w="904" w:type="dxa"/>
          </w:tcPr>
          <w:p w:rsidR="00642A19" w:rsidRDefault="00642A19">
            <w:pPr>
              <w:pStyle w:val="ConsPlusNormal"/>
              <w:jc w:val="both"/>
            </w:pPr>
            <w:r>
              <w:t>1.22.</w:t>
            </w:r>
          </w:p>
        </w:tc>
        <w:tc>
          <w:tcPr>
            <w:tcW w:w="4535" w:type="dxa"/>
          </w:tcPr>
          <w:p w:rsidR="00642A19" w:rsidRDefault="00642A19">
            <w:pPr>
              <w:pStyle w:val="ConsPlusNormal"/>
              <w:jc w:val="both"/>
            </w:pPr>
            <w:r>
              <w:t xml:space="preserve">Строительство </w:t>
            </w:r>
            <w:proofErr w:type="spellStart"/>
            <w:r>
              <w:t>однотрансформаторных</w:t>
            </w:r>
            <w:proofErr w:type="spellEnd"/>
            <w:r>
              <w:t xml:space="preserve"> подстанций (за исключением РТП) мощностью до 25 </w:t>
            </w:r>
            <w:proofErr w:type="spellStart"/>
            <w:r>
              <w:t>кВА</w:t>
            </w:r>
            <w:proofErr w:type="spellEnd"/>
            <w:r>
              <w:t xml:space="preserve"> включительно столбового/мачтового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1.22.1.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24258</w:t>
            </w:r>
          </w:p>
        </w:tc>
      </w:tr>
      <w:tr w:rsidR="00642A19">
        <w:tc>
          <w:tcPr>
            <w:tcW w:w="904" w:type="dxa"/>
          </w:tcPr>
          <w:p w:rsidR="00642A19" w:rsidRDefault="00642A19">
            <w:pPr>
              <w:pStyle w:val="ConsPlusNormal"/>
              <w:jc w:val="both"/>
            </w:pPr>
            <w:r>
              <w:t>1.22.2.</w:t>
            </w:r>
          </w:p>
        </w:tc>
        <w:tc>
          <w:tcPr>
            <w:tcW w:w="4535" w:type="dxa"/>
          </w:tcPr>
          <w:p w:rsidR="00642A19" w:rsidRDefault="00642A19">
            <w:pPr>
              <w:pStyle w:val="ConsPlusNormal"/>
              <w:jc w:val="both"/>
            </w:pPr>
            <w:r>
              <w:rPr>
                <w:noProof/>
                <w:position w:val="-8"/>
              </w:rPr>
              <w:drawing>
                <wp:inline distT="0" distB="0" distL="0" distR="0">
                  <wp:extent cx="7524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29041</w:t>
            </w:r>
          </w:p>
        </w:tc>
      </w:tr>
      <w:tr w:rsidR="00642A19">
        <w:tc>
          <w:tcPr>
            <w:tcW w:w="904" w:type="dxa"/>
          </w:tcPr>
          <w:p w:rsidR="00642A19" w:rsidRDefault="00642A19">
            <w:pPr>
              <w:pStyle w:val="ConsPlusNormal"/>
              <w:jc w:val="both"/>
            </w:pPr>
            <w:r>
              <w:t>1.23.</w:t>
            </w:r>
          </w:p>
        </w:tc>
        <w:tc>
          <w:tcPr>
            <w:tcW w:w="4535" w:type="dxa"/>
          </w:tcPr>
          <w:p w:rsidR="00642A19" w:rsidRDefault="00642A19">
            <w:pPr>
              <w:pStyle w:val="ConsPlusNormal"/>
              <w:jc w:val="both"/>
            </w:pPr>
            <w:r>
              <w:t xml:space="preserve">Строительство </w:t>
            </w:r>
            <w:proofErr w:type="spellStart"/>
            <w:r>
              <w:t>однотрансформаторных</w:t>
            </w:r>
            <w:proofErr w:type="spellEnd"/>
            <w:r>
              <w:t xml:space="preserve"> подстанций (за исключением РТП) мощностью от 25 до 100 </w:t>
            </w:r>
            <w:proofErr w:type="spellStart"/>
            <w:r>
              <w:t>кВА</w:t>
            </w:r>
            <w:proofErr w:type="spellEnd"/>
            <w:r>
              <w:t xml:space="preserve"> включительно столбового/мачтового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1.23.1.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9165</w:t>
            </w:r>
          </w:p>
        </w:tc>
      </w:tr>
      <w:tr w:rsidR="00642A19">
        <w:tc>
          <w:tcPr>
            <w:tcW w:w="904" w:type="dxa"/>
          </w:tcPr>
          <w:p w:rsidR="00642A19" w:rsidRDefault="00642A19">
            <w:pPr>
              <w:pStyle w:val="ConsPlusNormal"/>
              <w:jc w:val="both"/>
            </w:pPr>
            <w:r>
              <w:t>1.23.2.</w:t>
            </w:r>
          </w:p>
        </w:tc>
        <w:tc>
          <w:tcPr>
            <w:tcW w:w="4535" w:type="dxa"/>
          </w:tcPr>
          <w:p w:rsidR="00642A19" w:rsidRDefault="00642A19">
            <w:pPr>
              <w:pStyle w:val="ConsPlusNormal"/>
              <w:jc w:val="both"/>
            </w:pPr>
            <w:r>
              <w:rPr>
                <w:noProof/>
                <w:position w:val="-8"/>
              </w:rPr>
              <w:drawing>
                <wp:inline distT="0" distB="0" distL="0" distR="0">
                  <wp:extent cx="7524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10459</w:t>
            </w:r>
          </w:p>
        </w:tc>
      </w:tr>
      <w:tr w:rsidR="00642A19">
        <w:tc>
          <w:tcPr>
            <w:tcW w:w="904" w:type="dxa"/>
          </w:tcPr>
          <w:p w:rsidR="00642A19" w:rsidRDefault="00642A19">
            <w:pPr>
              <w:pStyle w:val="ConsPlusNormal"/>
              <w:jc w:val="both"/>
            </w:pPr>
            <w:r>
              <w:t>1.24.</w:t>
            </w:r>
          </w:p>
        </w:tc>
        <w:tc>
          <w:tcPr>
            <w:tcW w:w="4535" w:type="dxa"/>
          </w:tcPr>
          <w:p w:rsidR="00642A19" w:rsidRDefault="00642A19">
            <w:pPr>
              <w:pStyle w:val="ConsPlusNormal"/>
              <w:jc w:val="both"/>
            </w:pPr>
            <w:r>
              <w:t xml:space="preserve">Строительство </w:t>
            </w:r>
            <w:proofErr w:type="spellStart"/>
            <w:r>
              <w:t>однотрансформаторных</w:t>
            </w:r>
            <w:proofErr w:type="spellEnd"/>
            <w:r>
              <w:t xml:space="preserve"> подстанций (за исключением РТП) 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1.24.1.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10255</w:t>
            </w:r>
          </w:p>
        </w:tc>
      </w:tr>
      <w:tr w:rsidR="00642A19">
        <w:tc>
          <w:tcPr>
            <w:tcW w:w="904" w:type="dxa"/>
          </w:tcPr>
          <w:p w:rsidR="00642A19" w:rsidRDefault="00642A19">
            <w:pPr>
              <w:pStyle w:val="ConsPlusNormal"/>
              <w:jc w:val="both"/>
            </w:pPr>
            <w:r>
              <w:lastRenderedPageBreak/>
              <w:t>1.24.2.</w:t>
            </w:r>
          </w:p>
        </w:tc>
        <w:tc>
          <w:tcPr>
            <w:tcW w:w="4535" w:type="dxa"/>
          </w:tcPr>
          <w:p w:rsidR="00642A19" w:rsidRDefault="00642A19">
            <w:pPr>
              <w:pStyle w:val="ConsPlusNormal"/>
              <w:jc w:val="both"/>
            </w:pPr>
            <w:r>
              <w:rPr>
                <w:noProof/>
                <w:position w:val="-8"/>
              </w:rPr>
              <w:drawing>
                <wp:inline distT="0" distB="0" distL="0" distR="0">
                  <wp:extent cx="762000"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10105</w:t>
            </w:r>
          </w:p>
        </w:tc>
      </w:tr>
      <w:tr w:rsidR="00642A19">
        <w:tc>
          <w:tcPr>
            <w:tcW w:w="904" w:type="dxa"/>
          </w:tcPr>
          <w:p w:rsidR="00642A19" w:rsidRDefault="00642A19">
            <w:pPr>
              <w:pStyle w:val="ConsPlusNormal"/>
              <w:jc w:val="both"/>
            </w:pPr>
            <w:r>
              <w:t>1.25.</w:t>
            </w:r>
          </w:p>
        </w:tc>
        <w:tc>
          <w:tcPr>
            <w:tcW w:w="4535" w:type="dxa"/>
          </w:tcPr>
          <w:p w:rsidR="00642A19" w:rsidRDefault="00642A19">
            <w:pPr>
              <w:pStyle w:val="ConsPlusNormal"/>
              <w:jc w:val="both"/>
            </w:pPr>
            <w:r>
              <w:t xml:space="preserve">Строительство </w:t>
            </w:r>
            <w:proofErr w:type="spellStart"/>
            <w:r>
              <w:t>однотрансформаторных</w:t>
            </w:r>
            <w:proofErr w:type="spellEnd"/>
            <w:r>
              <w:t xml:space="preserve"> подстанций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1.25.1.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6434</w:t>
            </w:r>
          </w:p>
        </w:tc>
      </w:tr>
      <w:tr w:rsidR="00642A19">
        <w:tc>
          <w:tcPr>
            <w:tcW w:w="904" w:type="dxa"/>
          </w:tcPr>
          <w:p w:rsidR="00642A19" w:rsidRDefault="00642A19">
            <w:pPr>
              <w:pStyle w:val="ConsPlusNormal"/>
              <w:jc w:val="both"/>
            </w:pPr>
            <w:r>
              <w:t>1.25.2.</w:t>
            </w:r>
          </w:p>
        </w:tc>
        <w:tc>
          <w:tcPr>
            <w:tcW w:w="4535" w:type="dxa"/>
          </w:tcPr>
          <w:p w:rsidR="00642A19" w:rsidRDefault="00642A19">
            <w:pPr>
              <w:pStyle w:val="ConsPlusNormal"/>
              <w:jc w:val="both"/>
            </w:pPr>
            <w:r>
              <w:rPr>
                <w:noProof/>
                <w:position w:val="-8"/>
              </w:rPr>
              <w:drawing>
                <wp:inline distT="0" distB="0" distL="0" distR="0">
                  <wp:extent cx="762000"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6710</w:t>
            </w:r>
          </w:p>
        </w:tc>
      </w:tr>
      <w:tr w:rsidR="00642A19">
        <w:tc>
          <w:tcPr>
            <w:tcW w:w="904" w:type="dxa"/>
          </w:tcPr>
          <w:p w:rsidR="00642A19" w:rsidRDefault="00642A19">
            <w:pPr>
              <w:pStyle w:val="ConsPlusNormal"/>
              <w:jc w:val="both"/>
            </w:pPr>
            <w:r>
              <w:t>1.26.</w:t>
            </w:r>
          </w:p>
        </w:tc>
        <w:tc>
          <w:tcPr>
            <w:tcW w:w="4535" w:type="dxa"/>
          </w:tcPr>
          <w:p w:rsidR="00642A19" w:rsidRDefault="00642A19">
            <w:pPr>
              <w:pStyle w:val="ConsPlusNormal"/>
              <w:jc w:val="both"/>
            </w:pPr>
            <w:r>
              <w:t xml:space="preserve">Строительство </w:t>
            </w:r>
            <w:proofErr w:type="spellStart"/>
            <w:r>
              <w:t>однотрансформаторных</w:t>
            </w:r>
            <w:proofErr w:type="spellEnd"/>
            <w:r>
              <w:t xml:space="preserve"> подстанций (за исключением РТП)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1.26.1.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4330</w:t>
            </w:r>
          </w:p>
        </w:tc>
      </w:tr>
      <w:tr w:rsidR="00642A19">
        <w:tc>
          <w:tcPr>
            <w:tcW w:w="904" w:type="dxa"/>
          </w:tcPr>
          <w:p w:rsidR="00642A19" w:rsidRDefault="00642A19">
            <w:pPr>
              <w:pStyle w:val="ConsPlusNormal"/>
              <w:jc w:val="both"/>
            </w:pPr>
            <w:r>
              <w:t>1.26.2.</w:t>
            </w:r>
          </w:p>
        </w:tc>
        <w:tc>
          <w:tcPr>
            <w:tcW w:w="4535" w:type="dxa"/>
          </w:tcPr>
          <w:p w:rsidR="00642A19" w:rsidRDefault="00642A19">
            <w:pPr>
              <w:pStyle w:val="ConsPlusNormal"/>
              <w:jc w:val="both"/>
            </w:pPr>
            <w:r>
              <w:rPr>
                <w:noProof/>
                <w:position w:val="-8"/>
              </w:rPr>
              <w:drawing>
                <wp:inline distT="0" distB="0" distL="0" distR="0">
                  <wp:extent cx="762000"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3778</w:t>
            </w:r>
          </w:p>
        </w:tc>
      </w:tr>
      <w:tr w:rsidR="00642A19">
        <w:tc>
          <w:tcPr>
            <w:tcW w:w="904" w:type="dxa"/>
          </w:tcPr>
          <w:p w:rsidR="00642A19" w:rsidRDefault="00642A19">
            <w:pPr>
              <w:pStyle w:val="ConsPlusNormal"/>
              <w:jc w:val="both"/>
            </w:pPr>
            <w:r>
              <w:t>1.27.</w:t>
            </w:r>
          </w:p>
        </w:tc>
        <w:tc>
          <w:tcPr>
            <w:tcW w:w="4535" w:type="dxa"/>
          </w:tcPr>
          <w:p w:rsidR="00642A19" w:rsidRDefault="00642A19">
            <w:pPr>
              <w:pStyle w:val="ConsPlusNormal"/>
              <w:jc w:val="both"/>
            </w:pPr>
            <w:r>
              <w:t xml:space="preserve">Строительство </w:t>
            </w:r>
            <w:proofErr w:type="spellStart"/>
            <w:r>
              <w:t>однотрансформаторных</w:t>
            </w:r>
            <w:proofErr w:type="spellEnd"/>
            <w:r>
              <w:t xml:space="preserve"> подстанций (за исключением РТП) мощностью от 400 до 630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1.27.1.</w:t>
            </w:r>
          </w:p>
        </w:tc>
        <w:tc>
          <w:tcPr>
            <w:tcW w:w="4535" w:type="dxa"/>
          </w:tcPr>
          <w:p w:rsidR="00642A19" w:rsidRDefault="00642A19">
            <w:pPr>
              <w:pStyle w:val="ConsPlusNormal"/>
              <w:jc w:val="both"/>
            </w:pPr>
            <w:r>
              <w:rPr>
                <w:noProof/>
                <w:position w:val="-8"/>
              </w:rPr>
              <w:drawing>
                <wp:inline distT="0" distB="0" distL="0" distR="0">
                  <wp:extent cx="762000"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4126</w:t>
            </w:r>
          </w:p>
        </w:tc>
      </w:tr>
      <w:tr w:rsidR="00642A19">
        <w:tc>
          <w:tcPr>
            <w:tcW w:w="904" w:type="dxa"/>
          </w:tcPr>
          <w:p w:rsidR="00642A19" w:rsidRDefault="00642A19">
            <w:pPr>
              <w:pStyle w:val="ConsPlusNormal"/>
              <w:jc w:val="both"/>
            </w:pPr>
            <w:r>
              <w:t>1.28.</w:t>
            </w:r>
          </w:p>
        </w:tc>
        <w:tc>
          <w:tcPr>
            <w:tcW w:w="4535" w:type="dxa"/>
          </w:tcPr>
          <w:p w:rsidR="00642A19" w:rsidRDefault="00642A19">
            <w:pPr>
              <w:pStyle w:val="ConsPlusNormal"/>
              <w:jc w:val="both"/>
            </w:pPr>
            <w:r>
              <w:t xml:space="preserve">Строительство </w:t>
            </w:r>
            <w:proofErr w:type="spellStart"/>
            <w:r>
              <w:t>двухтрансформаторных</w:t>
            </w:r>
            <w:proofErr w:type="spellEnd"/>
            <w:r>
              <w:t xml:space="preserve"> и более подстанций (за исключением РТП)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1.28.1.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15916</w:t>
            </w:r>
          </w:p>
        </w:tc>
      </w:tr>
      <w:tr w:rsidR="00642A19">
        <w:tc>
          <w:tcPr>
            <w:tcW w:w="904" w:type="dxa"/>
          </w:tcPr>
          <w:p w:rsidR="00642A19" w:rsidRDefault="00642A19">
            <w:pPr>
              <w:pStyle w:val="ConsPlusNormal"/>
              <w:jc w:val="both"/>
            </w:pPr>
            <w:r>
              <w:t>1.28.2.</w:t>
            </w:r>
          </w:p>
        </w:tc>
        <w:tc>
          <w:tcPr>
            <w:tcW w:w="4535" w:type="dxa"/>
          </w:tcPr>
          <w:p w:rsidR="00642A19" w:rsidRDefault="00642A19">
            <w:pPr>
              <w:pStyle w:val="ConsPlusNormal"/>
              <w:jc w:val="both"/>
            </w:pPr>
            <w:r>
              <w:rPr>
                <w:noProof/>
                <w:position w:val="-8"/>
              </w:rPr>
              <w:drawing>
                <wp:inline distT="0" distB="0" distL="0" distR="0">
                  <wp:extent cx="762000"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14743</w:t>
            </w:r>
          </w:p>
        </w:tc>
      </w:tr>
      <w:tr w:rsidR="00642A19">
        <w:tc>
          <w:tcPr>
            <w:tcW w:w="904" w:type="dxa"/>
          </w:tcPr>
          <w:p w:rsidR="00642A19" w:rsidRDefault="00642A19">
            <w:pPr>
              <w:pStyle w:val="ConsPlusNormal"/>
              <w:jc w:val="both"/>
            </w:pPr>
            <w:r>
              <w:t>1.29.</w:t>
            </w:r>
          </w:p>
        </w:tc>
        <w:tc>
          <w:tcPr>
            <w:tcW w:w="4535" w:type="dxa"/>
          </w:tcPr>
          <w:p w:rsidR="00642A19" w:rsidRDefault="00642A19">
            <w:pPr>
              <w:pStyle w:val="ConsPlusNormal"/>
              <w:jc w:val="both"/>
            </w:pPr>
            <w:r>
              <w:t xml:space="preserve">Строительство </w:t>
            </w:r>
            <w:proofErr w:type="spellStart"/>
            <w:r>
              <w:t>двухтрансформаторных</w:t>
            </w:r>
            <w:proofErr w:type="spellEnd"/>
            <w:r>
              <w:t xml:space="preserve"> и более подстанций (за исключением РТП) мощностью от 400 до 630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1.29.1.</w:t>
            </w:r>
          </w:p>
        </w:tc>
        <w:tc>
          <w:tcPr>
            <w:tcW w:w="4535" w:type="dxa"/>
          </w:tcPr>
          <w:p w:rsidR="00642A19" w:rsidRDefault="00642A19">
            <w:pPr>
              <w:pStyle w:val="ConsPlusNormal"/>
              <w:jc w:val="both"/>
            </w:pPr>
            <w:r>
              <w:rPr>
                <w:noProof/>
                <w:position w:val="-8"/>
              </w:rPr>
              <w:drawing>
                <wp:inline distT="0" distB="0" distL="0" distR="0">
                  <wp:extent cx="723900"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6468</w:t>
            </w:r>
          </w:p>
        </w:tc>
      </w:tr>
      <w:tr w:rsidR="00642A19">
        <w:tc>
          <w:tcPr>
            <w:tcW w:w="904" w:type="dxa"/>
          </w:tcPr>
          <w:p w:rsidR="00642A19" w:rsidRDefault="00642A19">
            <w:pPr>
              <w:pStyle w:val="ConsPlusNormal"/>
              <w:jc w:val="both"/>
            </w:pPr>
            <w:r>
              <w:t>1.29.2.</w:t>
            </w:r>
          </w:p>
        </w:tc>
        <w:tc>
          <w:tcPr>
            <w:tcW w:w="4535" w:type="dxa"/>
          </w:tcPr>
          <w:p w:rsidR="00642A19" w:rsidRDefault="00642A19">
            <w:pPr>
              <w:pStyle w:val="ConsPlusNormal"/>
              <w:jc w:val="both"/>
            </w:pPr>
            <w:r>
              <w:rPr>
                <w:noProof/>
                <w:position w:val="-8"/>
              </w:rPr>
              <w:drawing>
                <wp:inline distT="0" distB="0" distL="0" distR="0">
                  <wp:extent cx="762000"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руб./кВт (без НДС)</w:t>
            </w:r>
          </w:p>
        </w:tc>
        <w:tc>
          <w:tcPr>
            <w:tcW w:w="2389" w:type="dxa"/>
          </w:tcPr>
          <w:p w:rsidR="00642A19" w:rsidRDefault="00642A19">
            <w:pPr>
              <w:pStyle w:val="ConsPlusNormal"/>
              <w:jc w:val="center"/>
            </w:pPr>
            <w:r>
              <w:t>10653</w:t>
            </w:r>
          </w:p>
        </w:tc>
      </w:tr>
      <w:tr w:rsidR="00642A19">
        <w:tc>
          <w:tcPr>
            <w:tcW w:w="904" w:type="dxa"/>
          </w:tcPr>
          <w:p w:rsidR="00642A19" w:rsidRDefault="00642A19">
            <w:pPr>
              <w:pStyle w:val="ConsPlusNormal"/>
              <w:jc w:val="both"/>
              <w:outlineLvl w:val="1"/>
            </w:pPr>
            <w:r>
              <w:t>2.</w:t>
            </w:r>
          </w:p>
        </w:tc>
        <w:tc>
          <w:tcPr>
            <w:tcW w:w="8128" w:type="dxa"/>
            <w:gridSpan w:val="3"/>
          </w:tcPr>
          <w:p w:rsidR="00642A19" w:rsidRDefault="00642A19">
            <w:pPr>
              <w:pStyle w:val="ConsPlusNormal"/>
              <w:jc w:val="center"/>
            </w:pPr>
            <w:r>
              <w:t>Обеспечение средствами коммерческого учета электрической энергии (мощности)</w:t>
            </w:r>
          </w:p>
        </w:tc>
      </w:tr>
      <w:tr w:rsidR="00642A19">
        <w:tc>
          <w:tcPr>
            <w:tcW w:w="904" w:type="dxa"/>
          </w:tcPr>
          <w:p w:rsidR="00642A19" w:rsidRDefault="00642A19">
            <w:pPr>
              <w:pStyle w:val="ConsPlusNormal"/>
              <w:jc w:val="both"/>
            </w:pPr>
            <w:r>
              <w:t>2.1.</w:t>
            </w:r>
          </w:p>
        </w:tc>
        <w:tc>
          <w:tcPr>
            <w:tcW w:w="4535" w:type="dxa"/>
          </w:tcPr>
          <w:p w:rsidR="00642A19" w:rsidRDefault="00642A19">
            <w:pPr>
              <w:pStyle w:val="ConsPlusNormal"/>
              <w:jc w:val="both"/>
            </w:pPr>
            <w:r>
              <w:t>Средства коммерческого учета электрической энергии (мощности) однофазные прямого включения:</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2.1.1.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 xml:space="preserve">руб. за точку учета </w:t>
            </w:r>
            <w:r>
              <w:lastRenderedPageBreak/>
              <w:t>(без НДС)</w:t>
            </w:r>
          </w:p>
        </w:tc>
        <w:tc>
          <w:tcPr>
            <w:tcW w:w="2389" w:type="dxa"/>
          </w:tcPr>
          <w:p w:rsidR="00642A19" w:rsidRDefault="00642A19">
            <w:pPr>
              <w:pStyle w:val="ConsPlusNormal"/>
              <w:jc w:val="center"/>
            </w:pPr>
            <w:r>
              <w:lastRenderedPageBreak/>
              <w:t>13263</w:t>
            </w:r>
          </w:p>
        </w:tc>
      </w:tr>
      <w:tr w:rsidR="00642A19">
        <w:tc>
          <w:tcPr>
            <w:tcW w:w="904" w:type="dxa"/>
          </w:tcPr>
          <w:p w:rsidR="00642A19" w:rsidRDefault="00642A19">
            <w:pPr>
              <w:pStyle w:val="ConsPlusNormal"/>
              <w:jc w:val="both"/>
            </w:pPr>
            <w:r>
              <w:lastRenderedPageBreak/>
              <w:t>2.2.</w:t>
            </w:r>
          </w:p>
        </w:tc>
        <w:tc>
          <w:tcPr>
            <w:tcW w:w="4535" w:type="dxa"/>
          </w:tcPr>
          <w:p w:rsidR="00642A19" w:rsidRDefault="00642A19">
            <w:pPr>
              <w:pStyle w:val="ConsPlusNormal"/>
              <w:jc w:val="both"/>
            </w:pPr>
            <w:r>
              <w:t>Средства коммерческого учета электрической энергии (мощности) трехфазные прямого включения:</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2.2.1.</w:t>
            </w:r>
          </w:p>
        </w:tc>
        <w:tc>
          <w:tcPr>
            <w:tcW w:w="4535" w:type="dxa"/>
          </w:tcPr>
          <w:p w:rsidR="00642A19" w:rsidRDefault="00642A19">
            <w:pPr>
              <w:pStyle w:val="ConsPlusNormal"/>
              <w:jc w:val="both"/>
            </w:pPr>
            <w:r>
              <w:rPr>
                <w:noProof/>
                <w:position w:val="-8"/>
              </w:rPr>
              <w:drawing>
                <wp:inline distT="0" distB="0" distL="0" distR="0">
                  <wp:extent cx="84772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 за точку учета (без НДС)</w:t>
            </w:r>
          </w:p>
        </w:tc>
        <w:tc>
          <w:tcPr>
            <w:tcW w:w="2389" w:type="dxa"/>
          </w:tcPr>
          <w:p w:rsidR="00642A19" w:rsidRDefault="00642A19">
            <w:pPr>
              <w:pStyle w:val="ConsPlusNormal"/>
              <w:jc w:val="center"/>
            </w:pPr>
            <w:r>
              <w:t>25333</w:t>
            </w:r>
          </w:p>
        </w:tc>
      </w:tr>
      <w:tr w:rsidR="00642A19">
        <w:tc>
          <w:tcPr>
            <w:tcW w:w="904" w:type="dxa"/>
          </w:tcPr>
          <w:p w:rsidR="00642A19" w:rsidRDefault="00642A19">
            <w:pPr>
              <w:pStyle w:val="ConsPlusNormal"/>
              <w:jc w:val="both"/>
            </w:pPr>
            <w:r>
              <w:t>2.3.</w:t>
            </w:r>
          </w:p>
        </w:tc>
        <w:tc>
          <w:tcPr>
            <w:tcW w:w="4535" w:type="dxa"/>
          </w:tcPr>
          <w:p w:rsidR="00642A19" w:rsidRDefault="00642A19">
            <w:pPr>
              <w:pStyle w:val="ConsPlusNormal"/>
              <w:jc w:val="both"/>
            </w:pPr>
            <w:r>
              <w:t xml:space="preserve">Средства коммерческого учета электрической энергии (мощности) трехфазные </w:t>
            </w:r>
            <w:proofErr w:type="spellStart"/>
            <w:r>
              <w:t>полукосвенного</w:t>
            </w:r>
            <w:proofErr w:type="spellEnd"/>
            <w:r>
              <w:t xml:space="preserve"> включения:</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2.3.1.</w:t>
            </w:r>
          </w:p>
        </w:tc>
        <w:tc>
          <w:tcPr>
            <w:tcW w:w="4535" w:type="dxa"/>
          </w:tcPr>
          <w:p w:rsidR="00642A19" w:rsidRDefault="00642A19">
            <w:pPr>
              <w:pStyle w:val="ConsPlusNormal"/>
              <w:jc w:val="both"/>
            </w:pPr>
            <w:r>
              <w:rPr>
                <w:noProof/>
                <w:position w:val="-8"/>
              </w:rPr>
              <w:drawing>
                <wp:inline distT="0" distB="0" distL="0" distR="0">
                  <wp:extent cx="11334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p>
        </w:tc>
        <w:tc>
          <w:tcPr>
            <w:tcW w:w="1204" w:type="dxa"/>
          </w:tcPr>
          <w:p w:rsidR="00642A19" w:rsidRDefault="00642A19">
            <w:pPr>
              <w:pStyle w:val="ConsPlusNormal"/>
              <w:jc w:val="both"/>
            </w:pPr>
            <w:r>
              <w:t>руб. за точку учета (без НДС)</w:t>
            </w:r>
          </w:p>
        </w:tc>
        <w:tc>
          <w:tcPr>
            <w:tcW w:w="2389" w:type="dxa"/>
          </w:tcPr>
          <w:p w:rsidR="00642A19" w:rsidRDefault="00642A19">
            <w:pPr>
              <w:pStyle w:val="ConsPlusNormal"/>
              <w:jc w:val="center"/>
            </w:pPr>
            <w:r>
              <w:t>44377</w:t>
            </w:r>
          </w:p>
        </w:tc>
      </w:tr>
      <w:tr w:rsidR="00642A19">
        <w:tc>
          <w:tcPr>
            <w:tcW w:w="904" w:type="dxa"/>
          </w:tcPr>
          <w:p w:rsidR="00642A19" w:rsidRDefault="00642A19">
            <w:pPr>
              <w:pStyle w:val="ConsPlusNormal"/>
              <w:jc w:val="both"/>
            </w:pPr>
            <w:r>
              <w:t>2.4.</w:t>
            </w:r>
          </w:p>
        </w:tc>
        <w:tc>
          <w:tcPr>
            <w:tcW w:w="4535" w:type="dxa"/>
          </w:tcPr>
          <w:p w:rsidR="00642A19" w:rsidRDefault="00642A19">
            <w:pPr>
              <w:pStyle w:val="ConsPlusNormal"/>
              <w:jc w:val="both"/>
            </w:pPr>
            <w:r>
              <w:t>Средства коммерческого учета электрической энергии (мощности) трехфазные косвенного включения:</w:t>
            </w:r>
          </w:p>
        </w:tc>
        <w:tc>
          <w:tcPr>
            <w:tcW w:w="1204" w:type="dxa"/>
          </w:tcPr>
          <w:p w:rsidR="00642A19" w:rsidRDefault="00642A19">
            <w:pPr>
              <w:pStyle w:val="ConsPlusNormal"/>
            </w:pPr>
          </w:p>
        </w:tc>
        <w:tc>
          <w:tcPr>
            <w:tcW w:w="2389" w:type="dxa"/>
          </w:tcPr>
          <w:p w:rsidR="00642A19" w:rsidRDefault="00642A19">
            <w:pPr>
              <w:pStyle w:val="ConsPlusNormal"/>
            </w:pPr>
          </w:p>
        </w:tc>
      </w:tr>
      <w:tr w:rsidR="00642A19">
        <w:tc>
          <w:tcPr>
            <w:tcW w:w="904" w:type="dxa"/>
          </w:tcPr>
          <w:p w:rsidR="00642A19" w:rsidRDefault="00642A19">
            <w:pPr>
              <w:pStyle w:val="ConsPlusNormal"/>
              <w:jc w:val="both"/>
            </w:pPr>
            <w:r>
              <w:t>2.4.1. &lt;**&gt;</w:t>
            </w:r>
          </w:p>
        </w:tc>
        <w:tc>
          <w:tcPr>
            <w:tcW w:w="4535" w:type="dxa"/>
          </w:tcPr>
          <w:p w:rsidR="00642A19" w:rsidRDefault="00642A19">
            <w:pPr>
              <w:pStyle w:val="ConsPlusNormal"/>
              <w:jc w:val="both"/>
            </w:pPr>
            <w:r>
              <w:rPr>
                <w:noProof/>
                <w:position w:val="-8"/>
              </w:rPr>
              <w:drawing>
                <wp:inline distT="0" distB="0" distL="0" distR="0">
                  <wp:extent cx="647700"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p>
        </w:tc>
        <w:tc>
          <w:tcPr>
            <w:tcW w:w="1204" w:type="dxa"/>
          </w:tcPr>
          <w:p w:rsidR="00642A19" w:rsidRDefault="00642A19">
            <w:pPr>
              <w:pStyle w:val="ConsPlusNormal"/>
              <w:jc w:val="both"/>
            </w:pPr>
            <w:r>
              <w:t>руб. за точку учета (без НДС)</w:t>
            </w:r>
          </w:p>
        </w:tc>
        <w:tc>
          <w:tcPr>
            <w:tcW w:w="2389" w:type="dxa"/>
          </w:tcPr>
          <w:p w:rsidR="00642A19" w:rsidRDefault="00642A19">
            <w:pPr>
              <w:pStyle w:val="ConsPlusNormal"/>
              <w:jc w:val="center"/>
            </w:pPr>
            <w:r>
              <w:t>307719</w:t>
            </w:r>
          </w:p>
        </w:tc>
      </w:tr>
    </w:tbl>
    <w:p w:rsidR="00642A19" w:rsidRDefault="00642A19">
      <w:pPr>
        <w:pStyle w:val="ConsPlusNormal"/>
        <w:jc w:val="both"/>
      </w:pPr>
    </w:p>
    <w:p w:rsidR="00642A19" w:rsidRDefault="00642A19">
      <w:pPr>
        <w:pStyle w:val="ConsPlusNormal"/>
        <w:ind w:firstLine="540"/>
        <w:jc w:val="both"/>
      </w:pPr>
      <w:r>
        <w:t>--------------------------------</w:t>
      </w:r>
    </w:p>
    <w:p w:rsidR="00642A19" w:rsidRDefault="00642A19">
      <w:pPr>
        <w:pStyle w:val="ConsPlusNormal"/>
        <w:spacing w:before="200"/>
        <w:ind w:firstLine="540"/>
        <w:jc w:val="both"/>
      </w:pPr>
      <w:bookmarkStart w:id="2" w:name="P426"/>
      <w:bookmarkEnd w:id="2"/>
      <w:proofErr w:type="gramStart"/>
      <w:r>
        <w:t xml:space="preserve">&lt;*&gt; для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w:t>
      </w:r>
      <w:proofErr w:type="spellStart"/>
      <w:r>
        <w:t>энергопринимающих</w:t>
      </w:r>
      <w:proofErr w:type="spellEnd"/>
      <w:r>
        <w:t xml:space="preserve">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w:t>
      </w:r>
      <w:proofErr w:type="gramEnd"/>
      <w:r>
        <w:t xml:space="preserve"> не более 300 метров в сельской местности,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xml:space="preserve"> = 0;</w:t>
      </w:r>
    </w:p>
    <w:p w:rsidR="00642A19" w:rsidRDefault="00642A19">
      <w:pPr>
        <w:pStyle w:val="ConsPlusNormal"/>
        <w:spacing w:before="200"/>
        <w:ind w:firstLine="540"/>
        <w:jc w:val="both"/>
      </w:pPr>
      <w:r>
        <w:t xml:space="preserve">для Заявителей, максимальная мощность присоединяемых </w:t>
      </w:r>
      <w:proofErr w:type="spellStart"/>
      <w:r>
        <w:t>энергопринимающих</w:t>
      </w:r>
      <w:proofErr w:type="spellEnd"/>
      <w:r>
        <w:t xml:space="preserve"> устройств которых составляет не более чем 150 кВт, за исключением Заявителей, указанных в абзаце 1 примечания к настоящему приложению, стандартизированные тарифные ставки на период с 01.12.2022 по 31.12.2022 рассчитываются по формулам: </w:t>
      </w:r>
      <w:r>
        <w:rPr>
          <w:noProof/>
          <w:position w:val="-8"/>
        </w:rPr>
        <w:drawing>
          <wp:inline distT="0" distB="0" distL="0" distR="0">
            <wp:extent cx="10953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t xml:space="preserve">, </w:t>
      </w:r>
      <w:r>
        <w:rPr>
          <w:noProof/>
          <w:position w:val="-8"/>
        </w:rPr>
        <w:drawing>
          <wp:inline distT="0" distB="0" distL="0" distR="0">
            <wp:extent cx="107632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t xml:space="preserve">, </w:t>
      </w:r>
      <w:r>
        <w:rPr>
          <w:noProof/>
          <w:position w:val="-8"/>
        </w:rPr>
        <w:drawing>
          <wp:inline distT="0" distB="0" distL="0" distR="0">
            <wp:extent cx="10953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t xml:space="preserve">, </w:t>
      </w:r>
      <w:r>
        <w:rPr>
          <w:noProof/>
          <w:position w:val="-8"/>
        </w:rPr>
        <w:drawing>
          <wp:inline distT="0" distB="0" distL="0" distR="0">
            <wp:extent cx="107632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t>.</w:t>
      </w:r>
    </w:p>
    <w:p w:rsidR="00642A19" w:rsidRDefault="00642A19">
      <w:pPr>
        <w:pStyle w:val="ConsPlusNormal"/>
        <w:jc w:val="both"/>
      </w:pPr>
    </w:p>
    <w:p w:rsidR="00642A19" w:rsidRDefault="00642A19">
      <w:pPr>
        <w:pStyle w:val="ConsPlusNormal"/>
        <w:ind w:firstLine="540"/>
        <w:jc w:val="both"/>
      </w:pPr>
      <w:proofErr w:type="gramStart"/>
      <w:r>
        <w:t xml:space="preserve">Положения о размере стандартизированных тарифных ставок, указанные в настоящем примечании, не могут быть применены в случаях, установленных абзацами 29 - 33 пункта 17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w:t>
      </w:r>
      <w:proofErr w:type="gramEnd"/>
    </w:p>
    <w:p w:rsidR="00642A19" w:rsidRDefault="00642A19">
      <w:pPr>
        <w:pStyle w:val="ConsPlusNormal"/>
        <w:spacing w:before="200"/>
        <w:ind w:firstLine="540"/>
        <w:jc w:val="both"/>
      </w:pPr>
      <w:bookmarkStart w:id="3" w:name="P430"/>
      <w:bookmarkEnd w:id="3"/>
      <w:r>
        <w:t xml:space="preserve">&lt;**&gt; не применяется в отношении средств коммерческого учета электрической энергии (мощности), устанавливаемых на подстанциях с уровнем высшего напряжения выше 20 </w:t>
      </w:r>
      <w:proofErr w:type="spellStart"/>
      <w:r>
        <w:t>кВ.</w:t>
      </w:r>
      <w:proofErr w:type="spellEnd"/>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both"/>
      </w:pPr>
    </w:p>
    <w:p w:rsidR="00642A19" w:rsidRDefault="00642A19">
      <w:pPr>
        <w:pStyle w:val="ConsPlusNormal"/>
        <w:jc w:val="right"/>
        <w:outlineLvl w:val="0"/>
      </w:pPr>
      <w:r>
        <w:t>Приложение 3</w:t>
      </w:r>
    </w:p>
    <w:p w:rsidR="00642A19" w:rsidRDefault="00642A19">
      <w:pPr>
        <w:pStyle w:val="ConsPlusNormal"/>
        <w:jc w:val="right"/>
      </w:pPr>
      <w:r>
        <w:t>к постановлению</w:t>
      </w:r>
    </w:p>
    <w:p w:rsidR="00642A19" w:rsidRDefault="00642A19">
      <w:pPr>
        <w:pStyle w:val="ConsPlusNormal"/>
        <w:jc w:val="right"/>
      </w:pPr>
      <w:r>
        <w:t>Департамента</w:t>
      </w:r>
    </w:p>
    <w:p w:rsidR="00642A19" w:rsidRDefault="00642A19">
      <w:pPr>
        <w:pStyle w:val="ConsPlusNormal"/>
        <w:jc w:val="right"/>
      </w:pPr>
      <w:r>
        <w:t>Смоленской области</w:t>
      </w:r>
    </w:p>
    <w:p w:rsidR="00642A19" w:rsidRDefault="00642A19">
      <w:pPr>
        <w:pStyle w:val="ConsPlusNormal"/>
        <w:jc w:val="right"/>
      </w:pPr>
      <w:r>
        <w:lastRenderedPageBreak/>
        <w:t>по энергетике,</w:t>
      </w:r>
    </w:p>
    <w:p w:rsidR="00642A19" w:rsidRDefault="00642A19">
      <w:pPr>
        <w:pStyle w:val="ConsPlusNormal"/>
        <w:jc w:val="right"/>
      </w:pPr>
      <w:proofErr w:type="spellStart"/>
      <w:r>
        <w:t>энергоэффективности</w:t>
      </w:r>
      <w:proofErr w:type="spellEnd"/>
      <w:r>
        <w:t>,</w:t>
      </w:r>
    </w:p>
    <w:p w:rsidR="00642A19" w:rsidRDefault="00642A19">
      <w:pPr>
        <w:pStyle w:val="ConsPlusNormal"/>
        <w:jc w:val="right"/>
      </w:pPr>
      <w:r>
        <w:t>тарифной политике</w:t>
      </w:r>
    </w:p>
    <w:p w:rsidR="00642A19" w:rsidRDefault="00642A19">
      <w:pPr>
        <w:pStyle w:val="ConsPlusNormal"/>
        <w:jc w:val="right"/>
      </w:pPr>
      <w:r>
        <w:t>от 28.11.2022 N 318</w:t>
      </w:r>
    </w:p>
    <w:p w:rsidR="00642A19" w:rsidRDefault="00642A19">
      <w:pPr>
        <w:pStyle w:val="ConsPlusNormal"/>
        <w:jc w:val="both"/>
      </w:pPr>
    </w:p>
    <w:p w:rsidR="00642A19" w:rsidRDefault="00642A19">
      <w:pPr>
        <w:pStyle w:val="ConsPlusTitle"/>
        <w:jc w:val="center"/>
      </w:pPr>
      <w:bookmarkStart w:id="4" w:name="P445"/>
      <w:bookmarkEnd w:id="4"/>
      <w:r>
        <w:t>ФОРМУЛА ПЛАТЫ</w:t>
      </w:r>
    </w:p>
    <w:p w:rsidR="00642A19" w:rsidRDefault="00642A19">
      <w:pPr>
        <w:pStyle w:val="ConsPlusTitle"/>
        <w:jc w:val="center"/>
      </w:pPr>
      <w:r>
        <w:t>ЗА ТЕХНОЛОГИЧЕСКОЕ ПРИСОЕДИНЕНИЕ К ЭЛЕКТРИЧЕСКИМ СЕТЯМ</w:t>
      </w:r>
    </w:p>
    <w:p w:rsidR="00642A19" w:rsidRDefault="00642A19">
      <w:pPr>
        <w:pStyle w:val="ConsPlusTitle"/>
        <w:jc w:val="center"/>
      </w:pPr>
      <w:r>
        <w:t>ТЕРРИТОРИАЛЬНЫХ СЕТЕВЫХ ОРГАНИЗАЦИЙ ЭНЕРГОПРИНИМАЮЩИХ</w:t>
      </w:r>
    </w:p>
    <w:p w:rsidR="00642A19" w:rsidRDefault="00642A19">
      <w:pPr>
        <w:pStyle w:val="ConsPlusTitle"/>
        <w:jc w:val="center"/>
      </w:pPr>
      <w:r>
        <w:t>УСТРОЙСТВ ЗАЯВИТЕЛЕЙ НА 2023 ГОД</w:t>
      </w:r>
    </w:p>
    <w:p w:rsidR="00642A19" w:rsidRDefault="00642A19">
      <w:pPr>
        <w:pStyle w:val="ConsPlusNormal"/>
        <w:jc w:val="both"/>
      </w:pPr>
    </w:p>
    <w:p w:rsidR="00642A19" w:rsidRDefault="00642A19">
      <w:pPr>
        <w:pStyle w:val="ConsPlusNormal"/>
        <w:ind w:firstLine="540"/>
        <w:jc w:val="both"/>
      </w:pPr>
      <w:proofErr w:type="gramStart"/>
      <w:r>
        <w:t xml:space="preserve">Плата за технологическое присоединение рассчитывается сетевой организацией посредством стандартизированных тарифных ставок с учетом, положений, установленных постановлениями Департамента Смоленской области по энергетике, </w:t>
      </w:r>
      <w:proofErr w:type="spellStart"/>
      <w:r>
        <w:t>энергоэффективности</w:t>
      </w:r>
      <w:proofErr w:type="spellEnd"/>
      <w:r>
        <w:t>, тарифной политике от 01.07.2022 N 37 "Об установлении льготных ставок за единицу запрашиваемой максимальной мощности за технологическое присоединение к электрическим сетям территориальных сетевых организаций на территории Смоленской области", от 17.11.2022 N 82 "Об установлении льготных ставок за единицу</w:t>
      </w:r>
      <w:proofErr w:type="gramEnd"/>
      <w:r>
        <w:t xml:space="preserve"> </w:t>
      </w:r>
      <w:proofErr w:type="gramStart"/>
      <w:r>
        <w:t xml:space="preserve">запрашиваемой максимальной мощности за технологическое присоединение к электрическим сетям территориальных сетевых организаций на территории Смоленской области на 2023 год", исходя из необходимости строительства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заявителей (далее - объектов "последней мили"), определенных техническими условиями на присоединение, следующим образом:</w:t>
      </w:r>
      <w:proofErr w:type="gramEnd"/>
    </w:p>
    <w:p w:rsidR="00642A19" w:rsidRDefault="00642A19">
      <w:pPr>
        <w:pStyle w:val="ConsPlusNormal"/>
        <w:spacing w:before="200"/>
        <w:ind w:firstLine="540"/>
        <w:jc w:val="both"/>
      </w:pPr>
      <w:bookmarkStart w:id="5" w:name="P451"/>
      <w:bookmarkEnd w:id="5"/>
      <w:r>
        <w:t xml:space="preserve">а) если отсутствует необходимость реализации мероприятий "последней мили", то плата определяется как сумма стандартизированной тарифной ставки на покрытие расходов сетевых организаций на выполнение обязательных мероприятий, связанных с технологическим присоединением </w:t>
      </w:r>
      <w:proofErr w:type="spellStart"/>
      <w:r>
        <w:t>энергопринимающих</w:t>
      </w:r>
      <w:proofErr w:type="spellEnd"/>
      <w:r>
        <w:t xml:space="preserve"> устройств заявителя (ставка С</w:t>
      </w:r>
      <w:proofErr w:type="gramStart"/>
      <w:r>
        <w:rPr>
          <w:vertAlign w:val="subscript"/>
        </w:rPr>
        <w:t>1</w:t>
      </w:r>
      <w:proofErr w:type="gramEnd"/>
      <w:r>
        <w:t xml:space="preserve">), указанной в приложении 1 к настоящему постановлению,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(ставка </w:t>
      </w:r>
      <w:proofErr w:type="gramStart"/>
      <w:r>
        <w:t>С</w:t>
      </w:r>
      <w:r>
        <w:rPr>
          <w:vertAlign w:val="subscript"/>
        </w:rPr>
        <w:t>8</w:t>
      </w:r>
      <w:r>
        <w:t>) и количества точек учета;</w:t>
      </w:r>
      <w:proofErr w:type="gramEnd"/>
    </w:p>
    <w:p w:rsidR="00642A19" w:rsidRDefault="00642A19">
      <w:pPr>
        <w:pStyle w:val="ConsPlusNormal"/>
        <w:spacing w:before="200"/>
        <w:ind w:firstLine="540"/>
        <w:jc w:val="both"/>
      </w:pPr>
      <w:bookmarkStart w:id="6" w:name="P452"/>
      <w:bookmarkEnd w:id="6"/>
      <w:r>
        <w:t>б) если при технологическом присоединении Заявителя согласно техническим условиям предусматриваются мероприятия "последней мили" по прокладке воздушных и (или) кабельных линий, то плата определяется как сумма расходов, определенных в соответствии с подпунктом "а" настоящего пункта, и произведения стандартизированной тарифной ставки на покрытие расходов сетевой организации на строительство воздушных (ставка С</w:t>
      </w:r>
      <w:proofErr w:type="gramStart"/>
      <w:r>
        <w:rPr>
          <w:vertAlign w:val="subscript"/>
        </w:rPr>
        <w:t>2</w:t>
      </w:r>
      <w:proofErr w:type="gramEnd"/>
      <w:r>
        <w:t>) и (или) кабельных (ставка С</w:t>
      </w:r>
      <w:r>
        <w:rPr>
          <w:vertAlign w:val="subscript"/>
        </w:rPr>
        <w:t>3</w:t>
      </w:r>
      <w:r>
        <w:t>) линий электропередачи на i-м уровне напряжения и суммарной протяженности воздушных и (или) кабельных линий (</w:t>
      </w:r>
      <w:proofErr w:type="spellStart"/>
      <w:r>
        <w:t>L</w:t>
      </w:r>
      <w:r>
        <w:rPr>
          <w:vertAlign w:val="subscript"/>
        </w:rPr>
        <w:t>i</w:t>
      </w:r>
      <w:proofErr w:type="spellEnd"/>
      <w:r>
        <w:t>), строительство которых предусмотрено согласно выданным техническим условиям для технологического присоединения Заявителя;</w:t>
      </w:r>
    </w:p>
    <w:p w:rsidR="00642A19" w:rsidRDefault="00642A19">
      <w:pPr>
        <w:pStyle w:val="ConsPlusNormal"/>
        <w:spacing w:before="200"/>
        <w:ind w:firstLine="540"/>
        <w:jc w:val="both"/>
      </w:pPr>
      <w: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t>реклоузеров</w:t>
      </w:r>
      <w:proofErr w:type="spellEnd"/>
      <w:r>
        <w:t>, линейных разъединителей), трансформаторных подстанций (ТП), то плата определяется как сумма расходов, определенных в соответствии с подпунктом "б" настоящего пункта, произведения стандартизированной тарифной ставки на покрытие расходов сетевой организации на строительство пунктов секционирования (</w:t>
      </w:r>
      <w:proofErr w:type="spellStart"/>
      <w:r>
        <w:t>реклоузеров</w:t>
      </w:r>
      <w:proofErr w:type="spellEnd"/>
      <w:r>
        <w:t>, линейных разъединителей) (ставка С</w:t>
      </w:r>
      <w:proofErr w:type="gramStart"/>
      <w:r>
        <w:rPr>
          <w:vertAlign w:val="subscript"/>
        </w:rPr>
        <w:t>4</w:t>
      </w:r>
      <w:proofErr w:type="gramEnd"/>
      <w:r>
        <w:t>) и количества пунктов секционирования (</w:t>
      </w:r>
      <w:proofErr w:type="spellStart"/>
      <w:r>
        <w:t>реклоузеров</w:t>
      </w:r>
      <w:proofErr w:type="spellEnd"/>
      <w:r>
        <w:t>, линейных разъединителей) и произведения стандартизированной тарифной ставки на покрытие расходов сетевой организации на строительство ТП (ставка С</w:t>
      </w:r>
      <w:r>
        <w:rPr>
          <w:vertAlign w:val="subscript"/>
        </w:rPr>
        <w:t>5</w:t>
      </w:r>
      <w:r>
        <w:t>) и объема максимальной мощности (</w:t>
      </w:r>
      <w:proofErr w:type="spellStart"/>
      <w:r>
        <w:t>N</w:t>
      </w:r>
      <w:r>
        <w:rPr>
          <w:vertAlign w:val="subscript"/>
        </w:rPr>
        <w:t>i</w:t>
      </w:r>
      <w:proofErr w:type="spellEnd"/>
      <w:r>
        <w:t>), указанного Заявителем в заявке на технологическое присоединение;</w:t>
      </w:r>
    </w:p>
    <w:p w:rsidR="00642A19" w:rsidRDefault="00642A19">
      <w:pPr>
        <w:pStyle w:val="ConsPlusNormal"/>
        <w:spacing w:before="20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642A19" w:rsidRDefault="00642A19">
      <w:pPr>
        <w:pStyle w:val="ConsPlusNormal"/>
        <w:spacing w:before="20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642A19" w:rsidRDefault="00642A19">
      <w:pPr>
        <w:pStyle w:val="ConsPlusNormal"/>
        <w:spacing w:before="200"/>
        <w:ind w:firstLine="540"/>
        <w:jc w:val="both"/>
      </w:pPr>
      <w: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w:t>
      </w:r>
      <w:r>
        <w:lastRenderedPageBreak/>
        <w:t>используется индекс потребительских цен);</w:t>
      </w:r>
    </w:p>
    <w:p w:rsidR="00642A19" w:rsidRDefault="00642A19">
      <w:pPr>
        <w:pStyle w:val="ConsPlusNormal"/>
        <w:spacing w:before="200"/>
        <w:ind w:firstLine="540"/>
        <w:jc w:val="both"/>
      </w:pPr>
      <w:r>
        <w:t xml:space="preserve">д) если при технологическом присоединении по инициативе (обращению) Заявителя, максимальная мощность </w:t>
      </w:r>
      <w:proofErr w:type="spellStart"/>
      <w:r>
        <w:t>энергопринимающих</w:t>
      </w:r>
      <w:proofErr w:type="spellEnd"/>
      <w:r>
        <w:t xml:space="preserve">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w:t>
      </w:r>
      <w:bookmarkStart w:id="7" w:name="_GoBack"/>
      <w:bookmarkEnd w:id="7"/>
      <w:r>
        <w:t>ующим образом:</w:t>
      </w:r>
    </w:p>
    <w:p w:rsidR="00642A19" w:rsidRDefault="00642A19">
      <w:pPr>
        <w:pStyle w:val="ConsPlusNormal"/>
        <w:spacing w:before="20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642A19" w:rsidRDefault="00642A19">
      <w:pPr>
        <w:pStyle w:val="ConsPlusNormal"/>
        <w:spacing w:before="20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642A19" w:rsidRDefault="00642A19">
      <w:pPr>
        <w:pStyle w:val="ConsPlusNormal"/>
        <w:spacing w:before="20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642A19" w:rsidRDefault="00642A19">
      <w:pPr>
        <w:pStyle w:val="ConsPlusNormal"/>
        <w:spacing w:before="200"/>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t>Р</w:t>
      </w:r>
      <w:r>
        <w:rPr>
          <w:vertAlign w:val="subscript"/>
        </w:rPr>
        <w:t>общ</w:t>
      </w:r>
      <w:proofErr w:type="spellEnd"/>
      <w:r>
        <w:t>) определяется следующим образом:</w:t>
      </w:r>
    </w:p>
    <w:p w:rsidR="00642A19" w:rsidRDefault="00642A19">
      <w:pPr>
        <w:pStyle w:val="ConsPlusNormal"/>
        <w:jc w:val="both"/>
      </w:pPr>
    </w:p>
    <w:p w:rsidR="00642A19" w:rsidRDefault="00642A19">
      <w:pPr>
        <w:pStyle w:val="ConsPlusNormal"/>
        <w:jc w:val="center"/>
      </w:pPr>
      <w:proofErr w:type="spellStart"/>
      <w:r>
        <w:t>Р</w:t>
      </w:r>
      <w:r>
        <w:rPr>
          <w:vertAlign w:val="subscript"/>
        </w:rPr>
        <w:t>общ</w:t>
      </w:r>
      <w:proofErr w:type="spellEnd"/>
      <w:r>
        <w:t xml:space="preserve"> = </w:t>
      </w:r>
      <w:proofErr w:type="gramStart"/>
      <w:r>
        <w:t>Р</w:t>
      </w:r>
      <w:proofErr w:type="gramEnd"/>
      <w:r>
        <w:t xml:space="preserve"> + (Р</w:t>
      </w:r>
      <w:r>
        <w:rPr>
          <w:vertAlign w:val="subscript"/>
        </w:rPr>
        <w:t>ист1</w:t>
      </w:r>
      <w:r>
        <w:t xml:space="preserve"> + Р</w:t>
      </w:r>
      <w:r>
        <w:rPr>
          <w:vertAlign w:val="subscript"/>
        </w:rPr>
        <w:t>ист2</w:t>
      </w:r>
      <w:r>
        <w:t>), (руб.), где:</w:t>
      </w:r>
    </w:p>
    <w:p w:rsidR="00642A19" w:rsidRDefault="00642A19">
      <w:pPr>
        <w:pStyle w:val="ConsPlusNormal"/>
        <w:jc w:val="both"/>
      </w:pPr>
    </w:p>
    <w:p w:rsidR="00642A19" w:rsidRDefault="00642A19">
      <w:pPr>
        <w:pStyle w:val="ConsPlusNormal"/>
        <w:ind w:firstLine="540"/>
        <w:jc w:val="both"/>
      </w:pPr>
      <w:proofErr w:type="gramStart"/>
      <w:r>
        <w:t>Р</w:t>
      </w:r>
      <w:proofErr w:type="gramEnd"/>
      <w:r>
        <w:t xml:space="preserve"> - расходы на технологическое присоединение, связанные с проведением мероприятий, указанных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30.06.2022 N 490/22 (далее - Методические указания), за исключением указанных в подпункте "б" (руб.);</w:t>
      </w:r>
    </w:p>
    <w:p w:rsidR="00642A19" w:rsidRDefault="00642A19">
      <w:pPr>
        <w:pStyle w:val="ConsPlusNormal"/>
        <w:spacing w:before="200"/>
        <w:ind w:firstLine="540"/>
        <w:jc w:val="both"/>
      </w:pPr>
      <w:r>
        <w:t>Р</w:t>
      </w:r>
      <w:r>
        <w:rPr>
          <w:vertAlign w:val="subscript"/>
        </w:rPr>
        <w:t>ист</w:t>
      </w:r>
      <w:proofErr w:type="gramStart"/>
      <w:r>
        <w:rPr>
          <w:vertAlign w:val="subscript"/>
        </w:rPr>
        <w:t>1</w:t>
      </w:r>
      <w:proofErr w:type="gramEnd"/>
      <w: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или главой III Методических указаний, (руб.);</w:t>
      </w:r>
    </w:p>
    <w:p w:rsidR="00642A19" w:rsidRDefault="00642A19">
      <w:pPr>
        <w:pStyle w:val="ConsPlusNormal"/>
        <w:spacing w:before="200"/>
        <w:ind w:firstLine="540"/>
        <w:jc w:val="both"/>
      </w:pPr>
      <w:r>
        <w:t>Р</w:t>
      </w:r>
      <w:r>
        <w:rPr>
          <w:vertAlign w:val="subscript"/>
        </w:rPr>
        <w:t>ист</w:t>
      </w:r>
      <w:proofErr w:type="gramStart"/>
      <w:r>
        <w:rPr>
          <w:vertAlign w:val="subscript"/>
        </w:rPr>
        <w:t>2</w:t>
      </w:r>
      <w:proofErr w:type="gramEnd"/>
      <w: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или главой III Методических указаний, (руб.).</w:t>
      </w:r>
    </w:p>
    <w:p w:rsidR="00642A19" w:rsidRDefault="00642A19">
      <w:pPr>
        <w:pStyle w:val="ConsPlusNormal"/>
        <w:jc w:val="both"/>
      </w:pPr>
    </w:p>
    <w:p w:rsidR="00642A19" w:rsidRDefault="00642A19">
      <w:pPr>
        <w:pStyle w:val="ConsPlusNormal"/>
        <w:jc w:val="both"/>
      </w:pPr>
    </w:p>
    <w:p w:rsidR="00642A19" w:rsidRDefault="00642A19">
      <w:pPr>
        <w:pStyle w:val="ConsPlusNormal"/>
        <w:pBdr>
          <w:bottom w:val="single" w:sz="6" w:space="0" w:color="auto"/>
        </w:pBdr>
        <w:spacing w:before="100" w:after="100"/>
        <w:jc w:val="both"/>
        <w:rPr>
          <w:sz w:val="2"/>
          <w:szCs w:val="2"/>
        </w:rPr>
      </w:pPr>
    </w:p>
    <w:p w:rsidR="00F61821" w:rsidRDefault="00642A19"/>
    <w:sectPr w:rsidR="00F61821" w:rsidSect="004A3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19"/>
    <w:rsid w:val="00642A19"/>
    <w:rsid w:val="00663E44"/>
    <w:rsid w:val="006D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A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2A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2A1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42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A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2A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2A1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42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 Type="http://schemas.microsoft.com/office/2007/relationships/stylesWithEffects" Target="stylesWithEffect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54" Type="http://schemas.openxmlformats.org/officeDocument/2006/relationships/image" Target="media/image4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 Type="http://schemas.openxmlformats.org/officeDocument/2006/relationships/hyperlink" Target="https://www.consultant.ru" TargetMode="Externa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Владимировна</dc:creator>
  <cp:lastModifiedBy>Борисова Татьяна Владимировна</cp:lastModifiedBy>
  <cp:revision>1</cp:revision>
  <dcterms:created xsi:type="dcterms:W3CDTF">2022-12-16T13:08:00Z</dcterms:created>
  <dcterms:modified xsi:type="dcterms:W3CDTF">2022-12-16T13:08:00Z</dcterms:modified>
</cp:coreProperties>
</file>